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DE8FF8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简体" w:eastAsia="方正小标宋简体"/>
          <w:b/>
          <w:sz w:val="32"/>
          <w:szCs w:val="32"/>
        </w:rPr>
      </w:pPr>
      <w:r>
        <w:rPr>
          <w:rFonts w:hint="eastAsia" w:ascii="方正小标宋简体" w:eastAsia="方正小标宋简体"/>
          <w:b/>
          <w:sz w:val="32"/>
          <w:szCs w:val="32"/>
        </w:rPr>
        <w:t>泸州弘润资产经营有限公司纳溪塑料制品分公司</w:t>
      </w:r>
    </w:p>
    <w:p w14:paraId="303948B5">
      <w:pPr>
        <w:jc w:val="center"/>
        <w:rPr>
          <w:rFonts w:hint="eastAsia" w:ascii="方正小标宋简体" w:eastAsia="方正小标宋简体"/>
          <w:b/>
          <w:sz w:val="32"/>
          <w:szCs w:val="32"/>
        </w:rPr>
      </w:pPr>
      <w:r>
        <w:rPr>
          <w:rFonts w:hint="eastAsia" w:ascii="方正小标宋简体" w:eastAsia="方正小标宋简体"/>
          <w:b/>
          <w:sz w:val="32"/>
          <w:szCs w:val="32"/>
        </w:rPr>
        <w:t>物资采购询价函</w:t>
      </w:r>
    </w:p>
    <w:p w14:paraId="22504ECB">
      <w:pPr>
        <w:ind w:firstLine="480" w:firstLineChars="200"/>
        <w:rPr>
          <w:rFonts w:hint="eastAsia" w:ascii="宋体" w:hAnsi="宋体"/>
          <w:sz w:val="24"/>
          <w:szCs w:val="24"/>
        </w:rPr>
      </w:pPr>
      <w:bookmarkStart w:id="0" w:name="_GoBack"/>
      <w:r>
        <w:rPr>
          <w:rFonts w:hint="eastAsia" w:ascii="宋体" w:hAnsi="宋体"/>
          <w:sz w:val="24"/>
          <w:szCs w:val="24"/>
        </w:rPr>
        <w:t>泸州弘润资产经营有限公司纳溪塑料制品分公司（（以下简称“我公司”）为本次采购询价谈判单位，现就我公司生产所需原材料采购，依据公司相关管理制度进行公开询价，现就询价要求及报价相关事宜，明确要求如下:</w:t>
      </w:r>
    </w:p>
    <w:p w14:paraId="4CE95AB6">
      <w:pPr>
        <w:ind w:firstLine="482" w:firstLineChars="200"/>
        <w:rPr>
          <w:rFonts w:ascii="宋体" w:hAnsi="宋体"/>
          <w:b/>
          <w:sz w:val="24"/>
          <w:szCs w:val="24"/>
        </w:rPr>
      </w:pPr>
      <w:r>
        <w:rPr>
          <w:rFonts w:hint="eastAsia" w:ascii="宋体" w:hAnsi="宋体"/>
          <w:b/>
          <w:sz w:val="24"/>
          <w:szCs w:val="24"/>
        </w:rPr>
        <w:t>一、询价项目名称</w:t>
      </w:r>
    </w:p>
    <w:p w14:paraId="38A4B851">
      <w:pPr>
        <w:ind w:firstLine="480" w:firstLineChars="200"/>
        <w:rPr>
          <w:rFonts w:ascii="宋体" w:hAnsi="宋体"/>
          <w:sz w:val="24"/>
          <w:szCs w:val="24"/>
        </w:rPr>
      </w:pPr>
      <w:r>
        <w:rPr>
          <w:rFonts w:hint="eastAsia" w:ascii="宋体" w:hAnsi="宋体"/>
          <w:sz w:val="24"/>
          <w:szCs w:val="24"/>
        </w:rPr>
        <w:t>泸州弘润资产经营有限公司纳溪塑料制品分公司聚丙烯母料采购</w:t>
      </w:r>
    </w:p>
    <w:p w14:paraId="16682655">
      <w:pPr>
        <w:ind w:firstLine="482" w:firstLineChars="200"/>
        <w:rPr>
          <w:rFonts w:ascii="宋体" w:hAnsi="宋体"/>
          <w:b/>
          <w:sz w:val="24"/>
          <w:szCs w:val="24"/>
        </w:rPr>
      </w:pPr>
      <w:r>
        <w:rPr>
          <w:rFonts w:hint="eastAsia" w:ascii="宋体" w:hAnsi="宋体"/>
          <w:b/>
          <w:sz w:val="24"/>
          <w:szCs w:val="24"/>
        </w:rPr>
        <w:t>二、物资明细</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559"/>
        <w:gridCol w:w="1672"/>
        <w:gridCol w:w="1116"/>
        <w:gridCol w:w="1900"/>
        <w:gridCol w:w="1417"/>
        <w:gridCol w:w="1046"/>
      </w:tblGrid>
      <w:tr w14:paraId="4E8C7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699" w:type="dxa"/>
            <w:tcBorders>
              <w:top w:val="single" w:color="auto" w:sz="4" w:space="0"/>
              <w:left w:val="single" w:color="auto" w:sz="4" w:space="0"/>
              <w:bottom w:val="single" w:color="auto" w:sz="4" w:space="0"/>
              <w:right w:val="single" w:color="auto" w:sz="4" w:space="0"/>
            </w:tcBorders>
            <w:noWrap w:val="0"/>
            <w:vAlign w:val="center"/>
          </w:tcPr>
          <w:p w14:paraId="32F66964">
            <w:pPr>
              <w:pStyle w:val="5"/>
              <w:tabs>
                <w:tab w:val="right" w:pos="9030"/>
              </w:tabs>
              <w:spacing w:line="240" w:lineRule="auto"/>
              <w:ind w:right="-31"/>
              <w:rPr>
                <w:sz w:val="24"/>
                <w:szCs w:val="24"/>
              </w:rPr>
            </w:pPr>
            <w:r>
              <w:rPr>
                <w:rFonts w:hint="eastAsia"/>
                <w:sz w:val="24"/>
                <w:szCs w:val="24"/>
              </w:rPr>
              <w:t>序号</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87C76D1">
            <w:pPr>
              <w:pStyle w:val="5"/>
              <w:tabs>
                <w:tab w:val="right" w:pos="9030"/>
              </w:tabs>
              <w:spacing w:line="240" w:lineRule="auto"/>
              <w:ind w:right="-31"/>
              <w:rPr>
                <w:sz w:val="24"/>
                <w:szCs w:val="24"/>
              </w:rPr>
            </w:pPr>
            <w:r>
              <w:rPr>
                <w:rFonts w:hint="eastAsia"/>
                <w:sz w:val="24"/>
                <w:szCs w:val="24"/>
              </w:rPr>
              <w:t>物资名称</w:t>
            </w:r>
          </w:p>
        </w:tc>
        <w:tc>
          <w:tcPr>
            <w:tcW w:w="1672" w:type="dxa"/>
            <w:tcBorders>
              <w:top w:val="single" w:color="auto" w:sz="4" w:space="0"/>
              <w:left w:val="single" w:color="auto" w:sz="4" w:space="0"/>
              <w:bottom w:val="single" w:color="auto" w:sz="4" w:space="0"/>
              <w:right w:val="single" w:color="auto" w:sz="4" w:space="0"/>
            </w:tcBorders>
            <w:noWrap w:val="0"/>
            <w:vAlign w:val="center"/>
          </w:tcPr>
          <w:p w14:paraId="46E2BD20">
            <w:pPr>
              <w:pStyle w:val="5"/>
              <w:tabs>
                <w:tab w:val="right" w:pos="9030"/>
              </w:tabs>
              <w:spacing w:line="240" w:lineRule="auto"/>
              <w:ind w:right="-31"/>
              <w:rPr>
                <w:sz w:val="24"/>
                <w:szCs w:val="24"/>
              </w:rPr>
            </w:pPr>
            <w:r>
              <w:rPr>
                <w:rFonts w:hint="eastAsia"/>
                <w:sz w:val="24"/>
                <w:szCs w:val="24"/>
              </w:rPr>
              <w:t>规</w:t>
            </w:r>
            <w:r>
              <w:rPr>
                <w:sz w:val="24"/>
                <w:szCs w:val="24"/>
              </w:rPr>
              <w:t xml:space="preserve"> </w:t>
            </w:r>
            <w:r>
              <w:rPr>
                <w:rFonts w:hint="eastAsia"/>
                <w:sz w:val="24"/>
                <w:szCs w:val="24"/>
              </w:rPr>
              <w:t>格</w:t>
            </w:r>
          </w:p>
        </w:tc>
        <w:tc>
          <w:tcPr>
            <w:tcW w:w="1116" w:type="dxa"/>
            <w:tcBorders>
              <w:top w:val="single" w:color="auto" w:sz="4" w:space="0"/>
              <w:left w:val="single" w:color="auto" w:sz="4" w:space="0"/>
              <w:bottom w:val="single" w:color="auto" w:sz="4" w:space="0"/>
              <w:right w:val="single" w:color="auto" w:sz="4" w:space="0"/>
            </w:tcBorders>
            <w:noWrap w:val="0"/>
            <w:vAlign w:val="center"/>
          </w:tcPr>
          <w:p w14:paraId="3AC6A600">
            <w:pPr>
              <w:pStyle w:val="5"/>
              <w:tabs>
                <w:tab w:val="right" w:pos="9030"/>
              </w:tabs>
              <w:spacing w:line="240" w:lineRule="auto"/>
              <w:ind w:right="-31"/>
              <w:rPr>
                <w:sz w:val="24"/>
                <w:szCs w:val="24"/>
              </w:rPr>
            </w:pPr>
            <w:r>
              <w:rPr>
                <w:rFonts w:hint="eastAsia"/>
                <w:sz w:val="24"/>
                <w:szCs w:val="24"/>
              </w:rPr>
              <w:t>数量</w:t>
            </w:r>
            <w:r>
              <w:rPr>
                <w:sz w:val="24"/>
                <w:szCs w:val="24"/>
              </w:rPr>
              <w:t>(</w:t>
            </w:r>
            <w:r>
              <w:rPr>
                <w:rFonts w:hint="eastAsia"/>
                <w:sz w:val="24"/>
                <w:szCs w:val="24"/>
              </w:rPr>
              <w:t>吨）</w:t>
            </w:r>
          </w:p>
        </w:tc>
        <w:tc>
          <w:tcPr>
            <w:tcW w:w="1900" w:type="dxa"/>
            <w:tcBorders>
              <w:top w:val="single" w:color="auto" w:sz="4" w:space="0"/>
              <w:left w:val="single" w:color="auto" w:sz="4" w:space="0"/>
              <w:bottom w:val="single" w:color="auto" w:sz="4" w:space="0"/>
              <w:right w:val="single" w:color="auto" w:sz="4" w:space="0"/>
            </w:tcBorders>
            <w:noWrap w:val="0"/>
            <w:vAlign w:val="center"/>
          </w:tcPr>
          <w:p w14:paraId="0814673A">
            <w:pPr>
              <w:pStyle w:val="5"/>
              <w:tabs>
                <w:tab w:val="right" w:pos="9030"/>
              </w:tabs>
              <w:spacing w:line="240" w:lineRule="auto"/>
              <w:ind w:right="-31"/>
              <w:rPr>
                <w:sz w:val="24"/>
                <w:szCs w:val="24"/>
              </w:rPr>
            </w:pPr>
            <w:r>
              <w:rPr>
                <w:rFonts w:hint="eastAsia"/>
                <w:sz w:val="24"/>
                <w:szCs w:val="24"/>
              </w:rPr>
              <w:t>送货时间</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0D2FCF3">
            <w:pPr>
              <w:pStyle w:val="5"/>
              <w:tabs>
                <w:tab w:val="right" w:pos="9030"/>
              </w:tabs>
              <w:spacing w:line="240" w:lineRule="auto"/>
              <w:ind w:right="-31" w:firstLine="240" w:firstLineChars="100"/>
              <w:jc w:val="both"/>
              <w:rPr>
                <w:sz w:val="24"/>
                <w:szCs w:val="24"/>
              </w:rPr>
            </w:pPr>
            <w:r>
              <w:rPr>
                <w:rFonts w:hint="eastAsia"/>
                <w:sz w:val="24"/>
                <w:szCs w:val="24"/>
              </w:rPr>
              <w:t>支付方式</w:t>
            </w:r>
          </w:p>
        </w:tc>
        <w:tc>
          <w:tcPr>
            <w:tcW w:w="1046" w:type="dxa"/>
            <w:tcBorders>
              <w:top w:val="single" w:color="auto" w:sz="4" w:space="0"/>
              <w:left w:val="single" w:color="auto" w:sz="4" w:space="0"/>
              <w:bottom w:val="single" w:color="auto" w:sz="4" w:space="0"/>
              <w:right w:val="single" w:color="auto" w:sz="4" w:space="0"/>
            </w:tcBorders>
            <w:noWrap w:val="0"/>
            <w:vAlign w:val="center"/>
          </w:tcPr>
          <w:p w14:paraId="4C8FFCAB">
            <w:pPr>
              <w:pStyle w:val="5"/>
              <w:tabs>
                <w:tab w:val="right" w:pos="9030"/>
              </w:tabs>
              <w:spacing w:line="240" w:lineRule="auto"/>
              <w:ind w:right="-31"/>
              <w:rPr>
                <w:sz w:val="24"/>
                <w:szCs w:val="24"/>
              </w:rPr>
            </w:pPr>
            <w:r>
              <w:rPr>
                <w:rFonts w:hint="eastAsia"/>
                <w:sz w:val="24"/>
                <w:szCs w:val="24"/>
              </w:rPr>
              <w:t>备注</w:t>
            </w:r>
          </w:p>
        </w:tc>
      </w:tr>
      <w:tr w14:paraId="4D2DE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jc w:val="center"/>
        </w:trPr>
        <w:tc>
          <w:tcPr>
            <w:tcW w:w="699" w:type="dxa"/>
            <w:tcBorders>
              <w:top w:val="single" w:color="auto" w:sz="4" w:space="0"/>
              <w:left w:val="single" w:color="auto" w:sz="4" w:space="0"/>
              <w:bottom w:val="single" w:color="auto" w:sz="4" w:space="0"/>
              <w:right w:val="single" w:color="auto" w:sz="4" w:space="0"/>
            </w:tcBorders>
            <w:noWrap w:val="0"/>
            <w:vAlign w:val="center"/>
          </w:tcPr>
          <w:p w14:paraId="265BF781">
            <w:pPr>
              <w:pStyle w:val="5"/>
              <w:tabs>
                <w:tab w:val="right" w:pos="9030"/>
              </w:tabs>
              <w:spacing w:line="240" w:lineRule="auto"/>
              <w:ind w:right="-31"/>
              <w:rPr>
                <w:sz w:val="24"/>
                <w:szCs w:val="24"/>
              </w:rPr>
            </w:pPr>
            <w:r>
              <w:rPr>
                <w:sz w:val="24"/>
                <w:szCs w:val="24"/>
              </w:rPr>
              <w:t>1</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5981577">
            <w:pPr>
              <w:pStyle w:val="5"/>
              <w:tabs>
                <w:tab w:val="right" w:pos="9030"/>
              </w:tabs>
              <w:spacing w:line="240" w:lineRule="auto"/>
              <w:ind w:right="-31"/>
              <w:rPr>
                <w:sz w:val="24"/>
                <w:szCs w:val="24"/>
              </w:rPr>
            </w:pPr>
            <w:r>
              <w:rPr>
                <w:rFonts w:hint="eastAsia"/>
                <w:sz w:val="24"/>
                <w:szCs w:val="24"/>
              </w:rPr>
              <w:t>聚丙烯母料（APP）</w:t>
            </w:r>
          </w:p>
        </w:tc>
        <w:tc>
          <w:tcPr>
            <w:tcW w:w="1672" w:type="dxa"/>
            <w:tcBorders>
              <w:top w:val="single" w:color="auto" w:sz="4" w:space="0"/>
              <w:left w:val="single" w:color="auto" w:sz="4" w:space="0"/>
              <w:right w:val="single" w:color="auto" w:sz="4" w:space="0"/>
            </w:tcBorders>
            <w:noWrap w:val="0"/>
            <w:vAlign w:val="center"/>
          </w:tcPr>
          <w:p w14:paraId="490A4D18">
            <w:pPr>
              <w:pStyle w:val="5"/>
              <w:tabs>
                <w:tab w:val="right" w:pos="9030"/>
              </w:tabs>
              <w:spacing w:line="240" w:lineRule="auto"/>
              <w:ind w:right="0"/>
              <w:rPr>
                <w:rFonts w:hint="default" w:eastAsia="宋体"/>
                <w:sz w:val="24"/>
                <w:szCs w:val="24"/>
                <w:lang w:val="en-US" w:eastAsia="zh-CN"/>
              </w:rPr>
            </w:pPr>
            <w:r>
              <w:rPr>
                <w:rFonts w:hint="eastAsia"/>
                <w:sz w:val="24"/>
                <w:szCs w:val="24"/>
                <w:lang w:val="en-US" w:eastAsia="zh-CN"/>
              </w:rPr>
              <w:t>25kg/袋</w:t>
            </w:r>
          </w:p>
        </w:tc>
        <w:tc>
          <w:tcPr>
            <w:tcW w:w="1116" w:type="dxa"/>
            <w:tcBorders>
              <w:top w:val="single" w:color="auto" w:sz="4" w:space="0"/>
              <w:left w:val="single" w:color="auto" w:sz="4" w:space="0"/>
              <w:right w:val="single" w:color="auto" w:sz="4" w:space="0"/>
            </w:tcBorders>
            <w:noWrap w:val="0"/>
            <w:vAlign w:val="center"/>
          </w:tcPr>
          <w:p w14:paraId="63E6A218">
            <w:pPr>
              <w:pStyle w:val="5"/>
              <w:tabs>
                <w:tab w:val="right" w:pos="9030"/>
              </w:tabs>
              <w:spacing w:line="240" w:lineRule="auto"/>
              <w:ind w:right="0"/>
              <w:rPr>
                <w:sz w:val="24"/>
                <w:szCs w:val="24"/>
              </w:rPr>
            </w:pPr>
            <w:r>
              <w:rPr>
                <w:rFonts w:hint="eastAsia"/>
                <w:sz w:val="24"/>
                <w:szCs w:val="24"/>
                <w:lang w:val="en-US" w:eastAsia="zh-CN"/>
              </w:rPr>
              <w:t>10</w:t>
            </w:r>
            <w:r>
              <w:rPr>
                <w:rFonts w:hint="eastAsia"/>
                <w:sz w:val="24"/>
                <w:szCs w:val="24"/>
              </w:rPr>
              <w:t xml:space="preserve"> </w:t>
            </w:r>
          </w:p>
        </w:tc>
        <w:tc>
          <w:tcPr>
            <w:tcW w:w="1900" w:type="dxa"/>
            <w:tcBorders>
              <w:top w:val="single" w:color="auto" w:sz="4" w:space="0"/>
              <w:left w:val="single" w:color="auto" w:sz="4" w:space="0"/>
              <w:right w:val="single" w:color="auto" w:sz="4" w:space="0"/>
            </w:tcBorders>
            <w:noWrap w:val="0"/>
            <w:vAlign w:val="center"/>
          </w:tcPr>
          <w:p w14:paraId="2C16490F">
            <w:pPr>
              <w:pStyle w:val="5"/>
              <w:tabs>
                <w:tab w:val="right" w:pos="9030"/>
              </w:tabs>
              <w:spacing w:line="240" w:lineRule="auto"/>
              <w:ind w:right="-31"/>
              <w:rPr>
                <w:sz w:val="24"/>
                <w:szCs w:val="24"/>
              </w:rPr>
            </w:pPr>
            <w:r>
              <w:rPr>
                <w:rFonts w:hint="eastAsia"/>
                <w:sz w:val="24"/>
                <w:szCs w:val="24"/>
              </w:rPr>
              <w:t>202</w:t>
            </w:r>
            <w:r>
              <w:rPr>
                <w:rFonts w:hint="eastAsia"/>
                <w:sz w:val="24"/>
                <w:szCs w:val="24"/>
                <w:lang w:val="en-US" w:eastAsia="zh-CN"/>
              </w:rPr>
              <w:t>6</w:t>
            </w:r>
            <w:r>
              <w:rPr>
                <w:rFonts w:hint="eastAsia"/>
                <w:sz w:val="24"/>
                <w:szCs w:val="24"/>
              </w:rPr>
              <w:t>年</w:t>
            </w:r>
            <w:r>
              <w:rPr>
                <w:rFonts w:hint="eastAsia"/>
                <w:sz w:val="24"/>
                <w:szCs w:val="24"/>
                <w:lang w:val="en-US" w:eastAsia="zh-CN"/>
              </w:rPr>
              <w:t>5</w:t>
            </w:r>
            <w:r>
              <w:rPr>
                <w:rFonts w:hint="eastAsia"/>
                <w:sz w:val="24"/>
                <w:szCs w:val="24"/>
              </w:rPr>
              <w:t>月</w:t>
            </w:r>
            <w:r>
              <w:rPr>
                <w:rFonts w:hint="eastAsia"/>
                <w:sz w:val="24"/>
                <w:szCs w:val="24"/>
                <w:lang w:val="en-US" w:eastAsia="zh-CN"/>
              </w:rPr>
              <w:t>8</w:t>
            </w:r>
            <w:r>
              <w:rPr>
                <w:rFonts w:hint="eastAsia"/>
                <w:sz w:val="24"/>
                <w:szCs w:val="24"/>
              </w:rPr>
              <w:t>日</w:t>
            </w:r>
            <w:r>
              <w:rPr>
                <w:rFonts w:hint="eastAsia"/>
                <w:sz w:val="24"/>
                <w:szCs w:val="24"/>
                <w:lang w:val="en-US" w:eastAsia="zh-CN"/>
              </w:rPr>
              <w:t>前</w:t>
            </w:r>
            <w:r>
              <w:rPr>
                <w:rFonts w:hint="eastAsia"/>
                <w:sz w:val="24"/>
                <w:szCs w:val="24"/>
              </w:rPr>
              <w:t>送货完成。</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61807A55">
            <w:pPr>
              <w:pStyle w:val="5"/>
              <w:tabs>
                <w:tab w:val="right" w:pos="9030"/>
              </w:tabs>
              <w:spacing w:line="240" w:lineRule="auto"/>
              <w:ind w:right="-31"/>
              <w:rPr>
                <w:sz w:val="24"/>
                <w:szCs w:val="24"/>
              </w:rPr>
            </w:pPr>
            <w:r>
              <w:rPr>
                <w:rFonts w:hint="eastAsia"/>
                <w:sz w:val="24"/>
                <w:szCs w:val="24"/>
              </w:rPr>
              <w:t>货到验收合格，且票到后</w:t>
            </w:r>
            <w:r>
              <w:rPr>
                <w:rFonts w:hint="eastAsia"/>
                <w:sz w:val="24"/>
                <w:szCs w:val="24"/>
                <w:lang w:val="en-US" w:eastAsia="zh-CN"/>
              </w:rPr>
              <w:t>30</w:t>
            </w:r>
            <w:r>
              <w:rPr>
                <w:rFonts w:hint="eastAsia"/>
                <w:sz w:val="24"/>
                <w:szCs w:val="24"/>
              </w:rPr>
              <w:t>日内以现金支付</w:t>
            </w:r>
          </w:p>
        </w:tc>
        <w:tc>
          <w:tcPr>
            <w:tcW w:w="1046" w:type="dxa"/>
            <w:tcBorders>
              <w:top w:val="single" w:color="auto" w:sz="4" w:space="0"/>
              <w:left w:val="single" w:color="auto" w:sz="4" w:space="0"/>
              <w:right w:val="single" w:color="auto" w:sz="4" w:space="0"/>
            </w:tcBorders>
            <w:noWrap w:val="0"/>
            <w:vAlign w:val="center"/>
          </w:tcPr>
          <w:p w14:paraId="419399FF">
            <w:pPr>
              <w:pStyle w:val="5"/>
              <w:tabs>
                <w:tab w:val="right" w:pos="9030"/>
              </w:tabs>
              <w:spacing w:line="240" w:lineRule="auto"/>
              <w:ind w:right="-31"/>
              <w:rPr>
                <w:sz w:val="24"/>
                <w:szCs w:val="24"/>
              </w:rPr>
            </w:pPr>
          </w:p>
        </w:tc>
      </w:tr>
      <w:tr w14:paraId="42327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409" w:type="dxa"/>
            <w:gridSpan w:val="7"/>
            <w:noWrap w:val="0"/>
            <w:vAlign w:val="top"/>
          </w:tcPr>
          <w:p w14:paraId="5632C3ED">
            <w:pPr>
              <w:pStyle w:val="18"/>
              <w:adjustRightInd w:val="0"/>
              <w:snapToGrid w:val="0"/>
              <w:spacing w:before="60" w:beforeLines="25" w:line="300" w:lineRule="auto"/>
              <w:rPr>
                <w:rFonts w:ascii="黑体" w:hAnsi="黑体" w:eastAsia="黑体"/>
                <w:b/>
                <w:sz w:val="24"/>
                <w:szCs w:val="24"/>
              </w:rPr>
            </w:pPr>
            <w:r>
              <w:rPr>
                <w:rFonts w:hint="eastAsia"/>
                <w:sz w:val="24"/>
                <w:szCs w:val="24"/>
              </w:rPr>
              <w:t>送达地点：</w:t>
            </w:r>
            <w:r>
              <w:rPr>
                <w:rFonts w:hint="eastAsia" w:ascii="宋体" w:hAnsi="宋体"/>
                <w:sz w:val="24"/>
                <w:szCs w:val="24"/>
              </w:rPr>
              <w:t>泸州弘润资产经营有限公司纳溪塑料制品分公司</w:t>
            </w:r>
            <w:r>
              <w:rPr>
                <w:rFonts w:hint="eastAsia"/>
                <w:sz w:val="24"/>
                <w:szCs w:val="24"/>
              </w:rPr>
              <w:t>厂房。</w:t>
            </w:r>
          </w:p>
        </w:tc>
      </w:tr>
    </w:tbl>
    <w:p w14:paraId="6F414343">
      <w:pPr>
        <w:ind w:firstLine="482" w:firstLineChars="200"/>
        <w:rPr>
          <w:rFonts w:hint="eastAsia" w:ascii="宋体" w:hAnsi="宋体"/>
          <w:b/>
          <w:sz w:val="24"/>
          <w:szCs w:val="24"/>
        </w:rPr>
      </w:pPr>
      <w:r>
        <w:rPr>
          <w:rFonts w:hint="eastAsia" w:ascii="宋体" w:hAnsi="宋体"/>
          <w:b/>
          <w:sz w:val="24"/>
          <w:szCs w:val="24"/>
        </w:rPr>
        <w:t>三、询价条件及报价要求</w:t>
      </w:r>
    </w:p>
    <w:p w14:paraId="222D6F47">
      <w:pPr>
        <w:spacing w:line="300" w:lineRule="exact"/>
        <w:ind w:firstLine="480" w:firstLineChars="200"/>
        <w:rPr>
          <w:rFonts w:ascii="宋体" w:hAnsi="宋体"/>
          <w:sz w:val="24"/>
          <w:szCs w:val="24"/>
        </w:rPr>
      </w:pPr>
      <w:r>
        <w:rPr>
          <w:rFonts w:hint="eastAsia" w:ascii="宋体" w:hAnsi="宋体"/>
          <w:sz w:val="24"/>
          <w:szCs w:val="24"/>
        </w:rPr>
        <w:t>1、意向报价人需仔细阅读附件</w:t>
      </w:r>
      <w:r>
        <w:rPr>
          <w:rFonts w:hint="eastAsia" w:ascii="宋体" w:hAnsi="宋体"/>
          <w:sz w:val="24"/>
          <w:szCs w:val="24"/>
          <w:u w:val="single"/>
        </w:rPr>
        <w:t>1</w:t>
      </w:r>
      <w:r>
        <w:rPr>
          <w:rFonts w:hint="eastAsia" w:ascii="宋体" w:hAnsi="宋体"/>
          <w:sz w:val="24"/>
          <w:szCs w:val="24"/>
        </w:rPr>
        <w:t>《泸州弘润资产经营有限公司纳溪塑料制品分公司用原料的质量要求及技术标准》</w:t>
      </w:r>
    </w:p>
    <w:p w14:paraId="05E739B0">
      <w:pPr>
        <w:ind w:firstLine="480" w:firstLineChars="200"/>
        <w:rPr>
          <w:rFonts w:ascii="宋体" w:hAnsi="宋体"/>
          <w:sz w:val="24"/>
          <w:szCs w:val="24"/>
        </w:rPr>
      </w:pPr>
      <w:r>
        <w:rPr>
          <w:rFonts w:hint="eastAsia" w:ascii="宋体" w:hAnsi="宋体"/>
          <w:color w:val="000000"/>
          <w:sz w:val="24"/>
          <w:szCs w:val="24"/>
        </w:rPr>
        <w:t>2、</w:t>
      </w:r>
      <w:r>
        <w:rPr>
          <w:rFonts w:hint="eastAsia" w:ascii="宋体" w:hAnsi="宋体"/>
          <w:sz w:val="24"/>
          <w:szCs w:val="24"/>
        </w:rPr>
        <w:t>意向报价的公司单位</w:t>
      </w:r>
      <w:r>
        <w:rPr>
          <w:rFonts w:hint="eastAsia" w:ascii="宋体" w:hAnsi="宋体"/>
          <w:color w:val="000000"/>
          <w:sz w:val="24"/>
          <w:szCs w:val="24"/>
        </w:rPr>
        <w:t>请用钢笔、签字笔填写，或打印</w:t>
      </w:r>
      <w:r>
        <w:rPr>
          <w:rFonts w:hint="eastAsia" w:ascii="宋体" w:hAnsi="宋体"/>
          <w:color w:val="000000"/>
          <w:sz w:val="24"/>
          <w:szCs w:val="24"/>
          <w:u w:val="single"/>
        </w:rPr>
        <w:t>附件2</w:t>
      </w:r>
      <w:r>
        <w:rPr>
          <w:rFonts w:hint="eastAsia" w:ascii="宋体" w:hAnsi="宋体"/>
          <w:color w:val="000000"/>
          <w:sz w:val="24"/>
          <w:szCs w:val="24"/>
        </w:rPr>
        <w:t>报价单后，加盖贵公司鲜章</w:t>
      </w:r>
      <w:r>
        <w:rPr>
          <w:rFonts w:hint="eastAsia" w:ascii="宋体" w:hAnsi="宋体"/>
          <w:sz w:val="24"/>
          <w:szCs w:val="24"/>
        </w:rPr>
        <w:t>后回传我公司办公室资料接收联系人，截止时间为</w:t>
      </w:r>
      <w:r>
        <w:rPr>
          <w:rFonts w:hint="eastAsia" w:ascii="宋体" w:hAnsi="宋体"/>
          <w:sz w:val="24"/>
          <w:szCs w:val="24"/>
          <w:u w:val="single"/>
        </w:rPr>
        <w:t xml:space="preserve"> 202</w:t>
      </w:r>
      <w:r>
        <w:rPr>
          <w:rFonts w:hint="eastAsia" w:ascii="宋体" w:hAnsi="宋体"/>
          <w:sz w:val="24"/>
          <w:szCs w:val="24"/>
          <w:u w:val="single"/>
          <w:lang w:val="en-US" w:eastAsia="zh-CN"/>
        </w:rPr>
        <w:t>6</w:t>
      </w:r>
      <w:r>
        <w:rPr>
          <w:rFonts w:hint="eastAsia" w:ascii="宋体" w:hAnsi="宋体"/>
          <w:sz w:val="24"/>
          <w:szCs w:val="24"/>
        </w:rPr>
        <w:t>年</w:t>
      </w:r>
      <w:r>
        <w:rPr>
          <w:rFonts w:hint="eastAsia" w:ascii="宋体" w:hAnsi="宋体"/>
          <w:sz w:val="24"/>
          <w:szCs w:val="24"/>
          <w:u w:val="single"/>
          <w:lang w:val="en-US" w:eastAsia="zh-CN"/>
        </w:rPr>
        <w:t>4</w:t>
      </w:r>
      <w:r>
        <w:rPr>
          <w:rFonts w:hint="eastAsia" w:ascii="宋体" w:hAnsi="宋体"/>
          <w:sz w:val="24"/>
          <w:szCs w:val="24"/>
        </w:rPr>
        <w:t>月</w:t>
      </w:r>
      <w:r>
        <w:rPr>
          <w:rFonts w:hint="eastAsia" w:ascii="宋体" w:hAnsi="宋体"/>
          <w:sz w:val="24"/>
          <w:szCs w:val="24"/>
          <w:u w:val="single"/>
          <w:lang w:val="en-US" w:eastAsia="zh-CN"/>
        </w:rPr>
        <w:t>23</w:t>
      </w:r>
      <w:r>
        <w:rPr>
          <w:rFonts w:hint="eastAsia" w:ascii="宋体" w:hAnsi="宋体"/>
          <w:sz w:val="24"/>
          <w:szCs w:val="24"/>
        </w:rPr>
        <w:t>日</w:t>
      </w:r>
      <w:r>
        <w:rPr>
          <w:rFonts w:hint="eastAsia" w:ascii="宋体" w:hAnsi="宋体"/>
          <w:sz w:val="24"/>
          <w:szCs w:val="24"/>
          <w:u w:val="single"/>
        </w:rPr>
        <w:t xml:space="preserve"> 1</w:t>
      </w:r>
      <w:r>
        <w:rPr>
          <w:rFonts w:hint="eastAsia" w:ascii="宋体" w:hAnsi="宋体"/>
          <w:sz w:val="24"/>
          <w:szCs w:val="24"/>
          <w:u w:val="single"/>
          <w:lang w:val="en-US" w:eastAsia="zh-CN"/>
        </w:rPr>
        <w:t>0</w:t>
      </w:r>
      <w:r>
        <w:rPr>
          <w:rFonts w:hint="eastAsia" w:ascii="宋体" w:hAnsi="宋体"/>
          <w:sz w:val="24"/>
          <w:szCs w:val="24"/>
          <w:u w:val="single"/>
        </w:rPr>
        <w:t xml:space="preserve">：00 </w:t>
      </w:r>
      <w:r>
        <w:rPr>
          <w:rFonts w:hint="eastAsia" w:ascii="宋体" w:hAnsi="宋体"/>
          <w:sz w:val="24"/>
          <w:szCs w:val="24"/>
        </w:rPr>
        <w:t>时，过时不受理。</w:t>
      </w:r>
    </w:p>
    <w:p w14:paraId="3EB69B47">
      <w:pPr>
        <w:ind w:firstLine="480" w:firstLineChars="200"/>
        <w:rPr>
          <w:rFonts w:hint="eastAsia" w:ascii="宋体" w:hAnsi="宋体"/>
          <w:sz w:val="24"/>
          <w:szCs w:val="24"/>
        </w:rPr>
      </w:pPr>
      <w:r>
        <w:rPr>
          <w:rFonts w:hint="eastAsia" w:ascii="宋体" w:hAnsi="宋体"/>
          <w:sz w:val="24"/>
          <w:szCs w:val="24"/>
        </w:rPr>
        <w:t>3、评选时我公司将邀请有关部门参与并现场监督，报价人不参加现场评选。</w:t>
      </w:r>
    </w:p>
    <w:p w14:paraId="708C1BB7">
      <w:pPr>
        <w:ind w:firstLine="480" w:firstLineChars="200"/>
        <w:rPr>
          <w:rFonts w:ascii="宋体" w:hAnsi="宋体"/>
          <w:sz w:val="24"/>
          <w:szCs w:val="24"/>
        </w:rPr>
      </w:pPr>
      <w:r>
        <w:rPr>
          <w:rFonts w:hint="eastAsia" w:ascii="宋体" w:hAnsi="宋体"/>
          <w:sz w:val="24"/>
          <w:szCs w:val="24"/>
        </w:rPr>
        <w:t>4、中选者且商务谈判成功者，须在评选后</w:t>
      </w:r>
      <w:r>
        <w:rPr>
          <w:rFonts w:hint="eastAsia" w:ascii="宋体" w:hAnsi="宋体"/>
          <w:sz w:val="24"/>
          <w:szCs w:val="24"/>
          <w:u w:val="single"/>
        </w:rPr>
        <w:t>3</w:t>
      </w:r>
      <w:r>
        <w:rPr>
          <w:rFonts w:hint="eastAsia" w:ascii="宋体" w:hAnsi="宋体"/>
          <w:sz w:val="24"/>
          <w:szCs w:val="24"/>
        </w:rPr>
        <w:t>日内与我公司签订购销合同，否则视为中选者放弃。我公司有权与其他报价人按报价从低到高顺序进行商议或重新组织询价。</w:t>
      </w:r>
    </w:p>
    <w:p w14:paraId="295779F9">
      <w:pPr>
        <w:ind w:firstLine="480" w:firstLineChars="200"/>
        <w:rPr>
          <w:rFonts w:ascii="宋体" w:hAnsi="宋体"/>
          <w:sz w:val="24"/>
          <w:szCs w:val="24"/>
        </w:rPr>
      </w:pPr>
    </w:p>
    <w:p w14:paraId="10446187">
      <w:pPr>
        <w:ind w:firstLine="480" w:firstLineChars="200"/>
        <w:rPr>
          <w:rFonts w:ascii="宋体" w:hAnsi="宋体"/>
          <w:sz w:val="24"/>
          <w:szCs w:val="24"/>
        </w:rPr>
      </w:pPr>
      <w:r>
        <w:rPr>
          <w:rFonts w:hint="eastAsia" w:ascii="宋体" w:hAnsi="宋体"/>
          <w:sz w:val="24"/>
          <w:szCs w:val="24"/>
        </w:rPr>
        <w:t>项目咨询联系人：</w:t>
      </w:r>
      <w:r>
        <w:rPr>
          <w:rFonts w:hint="eastAsia" w:ascii="宋体" w:hAnsi="宋体"/>
          <w:sz w:val="24"/>
          <w:szCs w:val="24"/>
          <w:u w:val="single"/>
          <w:lang w:val="en-US" w:eastAsia="zh-CN"/>
        </w:rPr>
        <w:t>杨安全</w:t>
      </w:r>
      <w:r>
        <w:rPr>
          <w:rFonts w:hint="eastAsia" w:ascii="宋体" w:hAnsi="宋体"/>
          <w:sz w:val="24"/>
          <w:szCs w:val="24"/>
        </w:rPr>
        <w:t>、联系电话</w:t>
      </w:r>
      <w:r>
        <w:rPr>
          <w:rFonts w:hint="eastAsia" w:ascii="宋体" w:hAnsi="宋体"/>
          <w:sz w:val="24"/>
          <w:szCs w:val="24"/>
          <w:u w:val="single"/>
          <w:lang w:val="en-US" w:eastAsia="zh-CN"/>
        </w:rPr>
        <w:t>13909082735</w:t>
      </w:r>
      <w:r>
        <w:rPr>
          <w:rFonts w:hint="eastAsia" w:ascii="宋体" w:hAnsi="宋体"/>
          <w:sz w:val="24"/>
          <w:szCs w:val="24"/>
        </w:rPr>
        <w:t>。</w:t>
      </w:r>
    </w:p>
    <w:p w14:paraId="01E78C8B">
      <w:pPr>
        <w:pStyle w:val="5"/>
        <w:tabs>
          <w:tab w:val="right" w:pos="9030"/>
        </w:tabs>
        <w:spacing w:line="240" w:lineRule="auto"/>
        <w:ind w:right="-31" w:firstLine="480" w:firstLineChars="200"/>
        <w:jc w:val="both"/>
        <w:rPr>
          <w:rFonts w:ascii="宋体" w:hAnsi="宋体"/>
          <w:szCs w:val="24"/>
          <w:u w:val="single"/>
        </w:rPr>
      </w:pPr>
      <w:r>
        <w:rPr>
          <w:rFonts w:hint="eastAsia" w:ascii="宋体" w:hAnsi="宋体"/>
          <w:szCs w:val="24"/>
        </w:rPr>
        <w:t>报价资料接收联系人：</w:t>
      </w:r>
      <w:r>
        <w:rPr>
          <w:rFonts w:hint="eastAsia" w:ascii="宋体" w:hAnsi="宋体"/>
          <w:szCs w:val="24"/>
          <w:u w:val="single"/>
        </w:rPr>
        <w:t>任丽</w:t>
      </w:r>
      <w:r>
        <w:rPr>
          <w:rFonts w:hint="eastAsia" w:ascii="宋体" w:hAnsi="宋体"/>
          <w:szCs w:val="24"/>
          <w:u w:val="single"/>
          <w:lang w:val="en-US" w:eastAsia="zh-CN"/>
        </w:rPr>
        <w:t>平</w:t>
      </w:r>
      <w:r>
        <w:rPr>
          <w:rFonts w:ascii="宋体" w:hAnsi="宋体"/>
          <w:szCs w:val="24"/>
        </w:rPr>
        <w:t xml:space="preserve">  </w:t>
      </w:r>
      <w:r>
        <w:rPr>
          <w:rFonts w:hint="eastAsia" w:ascii="宋体" w:hAnsi="宋体"/>
          <w:szCs w:val="24"/>
        </w:rPr>
        <w:t>联系电话</w:t>
      </w:r>
      <w:r>
        <w:rPr>
          <w:rFonts w:hint="eastAsia" w:ascii="宋体" w:hAnsi="宋体"/>
          <w:szCs w:val="24"/>
          <w:u w:val="single"/>
        </w:rPr>
        <w:t>：</w:t>
      </w:r>
      <w:r>
        <w:rPr>
          <w:rFonts w:ascii="宋体" w:hAnsi="宋体"/>
          <w:szCs w:val="24"/>
          <w:u w:val="single"/>
        </w:rPr>
        <w:t>0830-</w:t>
      </w:r>
      <w:r>
        <w:rPr>
          <w:rFonts w:hint="eastAsia" w:ascii="宋体" w:hAnsi="宋体"/>
          <w:szCs w:val="24"/>
          <w:u w:val="single"/>
        </w:rPr>
        <w:t>4126131</w:t>
      </w:r>
      <w:r>
        <w:rPr>
          <w:rFonts w:hint="eastAsia" w:ascii="宋体" w:hAnsi="宋体"/>
          <w:szCs w:val="24"/>
        </w:rPr>
        <w:t>手机：</w:t>
      </w:r>
      <w:r>
        <w:rPr>
          <w:rFonts w:hint="eastAsia" w:ascii="宋体" w:hAnsi="宋体"/>
          <w:szCs w:val="24"/>
          <w:u w:val="single"/>
        </w:rPr>
        <w:t>13540986623</w:t>
      </w:r>
      <w:r>
        <w:rPr>
          <w:rFonts w:hint="eastAsia" w:ascii="宋体" w:hAnsi="宋体"/>
          <w:szCs w:val="24"/>
        </w:rPr>
        <w:t xml:space="preserve">   邮箱：</w:t>
      </w:r>
      <w:r>
        <w:rPr>
          <w:rFonts w:hint="eastAsia" w:ascii="宋体" w:hAnsi="宋体"/>
          <w:szCs w:val="24"/>
          <w:u w:val="single"/>
        </w:rPr>
        <w:t>731407958</w:t>
      </w:r>
      <w:r>
        <w:rPr>
          <w:rFonts w:ascii="宋体" w:hAnsi="宋体"/>
          <w:szCs w:val="24"/>
          <w:u w:val="single"/>
        </w:rPr>
        <w:t>@qq.com</w:t>
      </w:r>
    </w:p>
    <w:p w14:paraId="5E50E3DF">
      <w:pPr>
        <w:ind w:firstLine="480" w:firstLineChars="200"/>
        <w:rPr>
          <w:rFonts w:ascii="宋体" w:hAnsi="宋体"/>
          <w:sz w:val="24"/>
          <w:szCs w:val="24"/>
        </w:rPr>
      </w:pPr>
      <w:r>
        <w:rPr>
          <w:rFonts w:hint="eastAsia" w:ascii="宋体" w:hAnsi="宋体"/>
          <w:sz w:val="24"/>
          <w:szCs w:val="24"/>
        </w:rPr>
        <w:t>资料接收地点：泸天化尿素码头区泸州弘润资产经营有限公司纳溪塑料制品分公司。</w:t>
      </w:r>
    </w:p>
    <w:p w14:paraId="292BAEB1">
      <w:pPr>
        <w:ind w:firstLine="480" w:firstLineChars="200"/>
        <w:rPr>
          <w:rFonts w:ascii="宋体" w:hAnsi="宋体"/>
          <w:sz w:val="24"/>
          <w:szCs w:val="24"/>
          <w:u w:val="single"/>
        </w:rPr>
      </w:pPr>
      <w:r>
        <w:rPr>
          <w:rFonts w:hint="eastAsia" w:ascii="宋体" w:hAnsi="宋体"/>
          <w:sz w:val="24"/>
          <w:szCs w:val="24"/>
        </w:rPr>
        <w:t>监督电话：</w:t>
      </w:r>
      <w:r>
        <w:rPr>
          <w:rFonts w:hint="eastAsia" w:ascii="宋体" w:hAnsi="宋体"/>
          <w:sz w:val="24"/>
          <w:szCs w:val="24"/>
          <w:u w:val="single"/>
        </w:rPr>
        <w:t>0830</w:t>
      </w:r>
      <w:r>
        <w:rPr>
          <w:rFonts w:ascii="宋体" w:hAnsi="宋体"/>
          <w:sz w:val="24"/>
          <w:szCs w:val="24"/>
          <w:u w:val="single"/>
        </w:rPr>
        <w:t>—</w:t>
      </w:r>
      <w:r>
        <w:rPr>
          <w:rFonts w:hint="eastAsia" w:ascii="宋体" w:hAnsi="宋体"/>
          <w:sz w:val="24"/>
          <w:szCs w:val="24"/>
          <w:u w:val="single"/>
        </w:rPr>
        <w:t>4126281</w:t>
      </w:r>
      <w:r>
        <w:rPr>
          <w:rFonts w:hint="eastAsia" w:ascii="宋体" w:hAnsi="宋体"/>
          <w:sz w:val="24"/>
          <w:szCs w:val="24"/>
        </w:rPr>
        <w:t>。</w:t>
      </w:r>
    </w:p>
    <w:p w14:paraId="35D1D42F">
      <w:pPr>
        <w:ind w:firstLine="480" w:firstLineChars="200"/>
        <w:rPr>
          <w:rFonts w:ascii="宋体" w:hAnsi="宋体"/>
          <w:sz w:val="24"/>
          <w:szCs w:val="24"/>
        </w:rPr>
      </w:pPr>
    </w:p>
    <w:p w14:paraId="3750CE3D">
      <w:pPr>
        <w:ind w:firstLine="482" w:firstLineChars="200"/>
        <w:rPr>
          <w:rFonts w:ascii="宋体" w:hAnsi="宋体"/>
          <w:b/>
          <w:sz w:val="24"/>
          <w:szCs w:val="24"/>
        </w:rPr>
      </w:pPr>
      <w:r>
        <w:rPr>
          <w:rFonts w:hint="eastAsia" w:ascii="宋体" w:hAnsi="宋体"/>
          <w:b/>
          <w:sz w:val="24"/>
          <w:szCs w:val="24"/>
        </w:rPr>
        <w:t>四、询价报价具有一定市场风险，我公司对于报价人以下行为不承担任何责任，均由报价人自行承担：</w:t>
      </w:r>
    </w:p>
    <w:p w14:paraId="46B04FC2">
      <w:pPr>
        <w:ind w:firstLine="480" w:firstLineChars="200"/>
        <w:rPr>
          <w:rFonts w:ascii="宋体" w:hAnsi="宋体"/>
          <w:sz w:val="24"/>
          <w:szCs w:val="24"/>
        </w:rPr>
      </w:pPr>
      <w:r>
        <w:rPr>
          <w:rFonts w:hint="eastAsia" w:ascii="宋体" w:hAnsi="宋体"/>
          <w:sz w:val="24"/>
          <w:szCs w:val="24"/>
        </w:rPr>
        <w:t>1、报价人因本次报价产生的费用；</w:t>
      </w:r>
    </w:p>
    <w:p w14:paraId="0E07373B">
      <w:pPr>
        <w:ind w:firstLine="480" w:firstLineChars="200"/>
        <w:rPr>
          <w:rFonts w:ascii="宋体" w:hAnsi="宋体"/>
          <w:sz w:val="24"/>
          <w:szCs w:val="24"/>
        </w:rPr>
      </w:pPr>
      <w:r>
        <w:rPr>
          <w:rFonts w:hint="eastAsia" w:ascii="宋体" w:hAnsi="宋体"/>
          <w:sz w:val="24"/>
          <w:szCs w:val="24"/>
        </w:rPr>
        <w:t>2、报价人设想中选而自行决定的前期投入或准备。</w:t>
      </w:r>
    </w:p>
    <w:p w14:paraId="2C90BB54">
      <w:pPr>
        <w:ind w:firstLine="480" w:firstLineChars="200"/>
        <w:rPr>
          <w:rFonts w:ascii="宋体" w:hAnsi="宋体"/>
          <w:sz w:val="24"/>
          <w:szCs w:val="24"/>
        </w:rPr>
      </w:pPr>
      <w:r>
        <w:rPr>
          <w:rFonts w:hint="eastAsia" w:ascii="宋体" w:hAnsi="宋体"/>
          <w:sz w:val="24"/>
          <w:szCs w:val="24"/>
        </w:rPr>
        <w:t>3、报价人设想中选而导致的报价人预期利益的影响。</w:t>
      </w:r>
    </w:p>
    <w:p w14:paraId="160CE1EC">
      <w:pPr>
        <w:ind w:firstLine="4200" w:firstLineChars="1750"/>
        <w:rPr>
          <w:rFonts w:ascii="宋体" w:hAnsi="宋体"/>
          <w:sz w:val="24"/>
          <w:szCs w:val="24"/>
        </w:rPr>
      </w:pPr>
    </w:p>
    <w:p w14:paraId="22D45B73">
      <w:pPr>
        <w:ind w:firstLine="7200" w:firstLineChars="3000"/>
        <w:rPr>
          <w:rFonts w:ascii="宋体" w:hAnsi="宋体"/>
          <w:sz w:val="24"/>
          <w:szCs w:val="24"/>
        </w:rPr>
      </w:pPr>
    </w:p>
    <w:p w14:paraId="2BB032BE">
      <w:pPr>
        <w:ind w:firstLine="4560" w:firstLineChars="1900"/>
        <w:rPr>
          <w:rFonts w:hint="eastAsia" w:ascii="宋体" w:hAnsi="宋体"/>
          <w:sz w:val="24"/>
          <w:szCs w:val="24"/>
        </w:rPr>
      </w:pPr>
      <w:r>
        <w:rPr>
          <w:rFonts w:hint="eastAsia" w:ascii="宋体" w:hAnsi="宋体"/>
          <w:sz w:val="24"/>
          <w:szCs w:val="24"/>
        </w:rPr>
        <w:t>泸州弘润资产经营有限公司纳溪塑料制品分公司</w:t>
      </w:r>
    </w:p>
    <w:p w14:paraId="220BF402">
      <w:pPr>
        <w:ind w:firstLine="6240" w:firstLineChars="2600"/>
        <w:rPr>
          <w:rFonts w:hint="eastAsia" w:ascii="宋体" w:hAnsi="宋体"/>
          <w:sz w:val="24"/>
          <w:szCs w:val="24"/>
        </w:rPr>
      </w:pPr>
    </w:p>
    <w:p w14:paraId="7258BA73">
      <w:pPr>
        <w:ind w:firstLine="6240" w:firstLineChars="2600"/>
        <w:rPr>
          <w:rFonts w:hint="eastAsia" w:ascii="宋体" w:hAnsi="宋体" w:cs="黑体"/>
          <w:b/>
          <w:sz w:val="30"/>
          <w:szCs w:val="30"/>
        </w:rPr>
      </w:pPr>
      <w:r>
        <w:rPr>
          <w:rFonts w:hint="eastAsia" w:ascii="宋体" w:hAnsi="宋体"/>
          <w:sz w:val="24"/>
          <w:szCs w:val="24"/>
        </w:rPr>
        <w:t>202</w:t>
      </w:r>
      <w:r>
        <w:rPr>
          <w:rFonts w:hint="eastAsia" w:ascii="宋体" w:hAnsi="宋体"/>
          <w:sz w:val="24"/>
          <w:szCs w:val="24"/>
          <w:lang w:val="en-US" w:eastAsia="zh-CN"/>
        </w:rPr>
        <w:t>6</w:t>
      </w:r>
      <w:r>
        <w:rPr>
          <w:rFonts w:hint="eastAsia" w:ascii="宋体" w:hAnsi="宋体"/>
          <w:sz w:val="24"/>
          <w:szCs w:val="24"/>
        </w:rPr>
        <w:t>年</w:t>
      </w:r>
      <w:r>
        <w:rPr>
          <w:rFonts w:hint="eastAsia" w:ascii="宋体" w:hAnsi="宋体"/>
          <w:sz w:val="24"/>
          <w:szCs w:val="24"/>
          <w:lang w:val="en-US" w:eastAsia="zh-CN"/>
        </w:rPr>
        <w:t>4</w:t>
      </w:r>
      <w:r>
        <w:rPr>
          <w:rFonts w:hint="eastAsia" w:ascii="宋体" w:hAnsi="宋体"/>
          <w:sz w:val="24"/>
          <w:szCs w:val="24"/>
        </w:rPr>
        <w:t>月</w:t>
      </w:r>
      <w:r>
        <w:rPr>
          <w:rFonts w:hint="eastAsia" w:ascii="宋体" w:hAnsi="宋体"/>
          <w:sz w:val="24"/>
          <w:szCs w:val="24"/>
          <w:lang w:val="en-US" w:eastAsia="zh-CN"/>
        </w:rPr>
        <w:t>20</w:t>
      </w:r>
      <w:r>
        <w:rPr>
          <w:rFonts w:hint="eastAsia" w:ascii="宋体" w:hAnsi="宋体"/>
          <w:sz w:val="24"/>
          <w:szCs w:val="24"/>
        </w:rPr>
        <w:t>日</w:t>
      </w:r>
      <w:r>
        <w:rPr>
          <w:rFonts w:ascii="宋体" w:hAnsi="宋体" w:cs="宋体"/>
          <w:b/>
          <w:bCs/>
        </w:rPr>
        <w:br w:type="page"/>
      </w:r>
      <w:bookmarkEnd w:id="0"/>
      <w:r>
        <w:rPr>
          <w:rFonts w:hint="eastAsia" w:ascii="宋体" w:hAnsi="宋体" w:cs="黑体"/>
          <w:b/>
          <w:sz w:val="30"/>
          <w:szCs w:val="30"/>
        </w:rPr>
        <w:t>附件1：</w:t>
      </w:r>
    </w:p>
    <w:p w14:paraId="4CFF840F">
      <w:pPr>
        <w:spacing w:line="300" w:lineRule="exact"/>
        <w:ind w:firstLine="1285" w:firstLineChars="400"/>
        <w:rPr>
          <w:rFonts w:hint="eastAsia" w:ascii="黑体" w:hAnsi="Times New Roman" w:eastAsia="黑体" w:cs="Times New Roman"/>
          <w:b/>
          <w:sz w:val="32"/>
          <w:szCs w:val="32"/>
        </w:rPr>
      </w:pPr>
      <w:r>
        <w:rPr>
          <w:rFonts w:hint="eastAsia" w:ascii="黑体" w:hAnsi="Times New Roman" w:eastAsia="黑体" w:cs="Times New Roman"/>
          <w:b/>
          <w:sz w:val="32"/>
          <w:szCs w:val="32"/>
        </w:rPr>
        <w:t>弘润塑料制品分公司用原料的质量要求及技术标准</w:t>
      </w:r>
    </w:p>
    <w:p w14:paraId="26BB89CA">
      <w:pPr>
        <w:numPr>
          <w:ilvl w:val="0"/>
          <w:numId w:val="2"/>
        </w:numPr>
        <w:spacing w:line="300" w:lineRule="exact"/>
        <w:rPr>
          <w:rFonts w:hint="eastAsia" w:ascii="黑体" w:eastAsia="黑体"/>
          <w:b/>
          <w:szCs w:val="21"/>
        </w:rPr>
      </w:pPr>
      <w:r>
        <w:rPr>
          <w:rFonts w:hint="eastAsia" w:ascii="黑体" w:eastAsia="黑体"/>
          <w:b/>
          <w:szCs w:val="21"/>
        </w:rPr>
        <w:t>目的</w:t>
      </w:r>
    </w:p>
    <w:p w14:paraId="121EE5CA">
      <w:pPr>
        <w:spacing w:line="300" w:lineRule="exact"/>
        <w:rPr>
          <w:rFonts w:hint="eastAsia" w:ascii="黑体" w:eastAsia="黑体"/>
          <w:b/>
          <w:szCs w:val="21"/>
        </w:rPr>
      </w:pPr>
      <w:r>
        <w:rPr>
          <w:rFonts w:hint="eastAsia" w:ascii="黑体" w:eastAsia="黑体"/>
          <w:b/>
          <w:szCs w:val="21"/>
        </w:rPr>
        <w:t>规范我公司生产物料的质量控制内容、方式方法及检验标准、允收准则。</w:t>
      </w:r>
    </w:p>
    <w:p w14:paraId="128B9531">
      <w:pPr>
        <w:numPr>
          <w:ilvl w:val="0"/>
          <w:numId w:val="2"/>
        </w:numPr>
        <w:spacing w:line="300" w:lineRule="exact"/>
        <w:rPr>
          <w:rFonts w:hint="eastAsia" w:ascii="黑体" w:eastAsia="黑体"/>
          <w:b/>
          <w:szCs w:val="21"/>
        </w:rPr>
      </w:pPr>
      <w:r>
        <w:rPr>
          <w:rFonts w:hint="eastAsia" w:ascii="黑体" w:eastAsia="黑体"/>
          <w:b/>
          <w:szCs w:val="21"/>
        </w:rPr>
        <w:t>适用范围</w:t>
      </w:r>
    </w:p>
    <w:p w14:paraId="326A3F30">
      <w:pPr>
        <w:spacing w:line="300" w:lineRule="exact"/>
        <w:rPr>
          <w:rFonts w:hint="eastAsia" w:ascii="黑体" w:eastAsia="黑体"/>
          <w:b/>
          <w:szCs w:val="21"/>
        </w:rPr>
      </w:pPr>
      <w:r>
        <w:rPr>
          <w:rFonts w:hint="eastAsia" w:ascii="黑体" w:eastAsia="黑体"/>
          <w:b/>
          <w:szCs w:val="21"/>
        </w:rPr>
        <w:t>适用于我公司塑料原材料（聚丙烯PP、低密度聚乙烯LDPE、线性低密度聚乙烯LLDPE、涂膜料PP、涂膜料PE、聚丙烯母料APP、聚乙烯母料PEP）的来料检验</w:t>
      </w:r>
    </w:p>
    <w:p w14:paraId="4E0A026A">
      <w:pPr>
        <w:numPr>
          <w:ilvl w:val="0"/>
          <w:numId w:val="2"/>
        </w:numPr>
        <w:spacing w:line="300" w:lineRule="exact"/>
        <w:rPr>
          <w:rFonts w:hint="eastAsia" w:ascii="黑体" w:eastAsia="黑体"/>
          <w:b/>
          <w:szCs w:val="21"/>
        </w:rPr>
      </w:pPr>
      <w:r>
        <w:rPr>
          <w:rFonts w:hint="eastAsia" w:ascii="黑体" w:eastAsia="黑体"/>
          <w:b/>
          <w:szCs w:val="21"/>
        </w:rPr>
        <w:t>定义</w:t>
      </w:r>
    </w:p>
    <w:p w14:paraId="0E2BCD52">
      <w:pPr>
        <w:spacing w:line="300" w:lineRule="exact"/>
        <w:rPr>
          <w:rFonts w:hint="eastAsia" w:ascii="黑体" w:eastAsia="黑体"/>
          <w:b/>
          <w:szCs w:val="21"/>
        </w:rPr>
      </w:pPr>
      <w:r>
        <w:rPr>
          <w:rFonts w:hint="eastAsia" w:ascii="黑体" w:eastAsia="黑体"/>
          <w:b/>
          <w:szCs w:val="21"/>
        </w:rPr>
        <w:t>3.1致命缺陷：危及人身安全或易招致不安全因素的项目以及导致其基本功能质量失效的项目。</w:t>
      </w:r>
    </w:p>
    <w:p w14:paraId="36557AF9">
      <w:pPr>
        <w:spacing w:line="300" w:lineRule="exact"/>
        <w:rPr>
          <w:rFonts w:hint="eastAsia" w:ascii="黑体" w:eastAsia="黑体"/>
          <w:b/>
          <w:szCs w:val="21"/>
        </w:rPr>
      </w:pPr>
      <w:r>
        <w:rPr>
          <w:rFonts w:hint="eastAsia" w:ascii="黑体" w:eastAsia="黑体"/>
          <w:b/>
          <w:szCs w:val="21"/>
        </w:rPr>
        <w:t>3.2严重缺陷：不符合特性要求，且可能导致功能失误或降低原有使用功能的项目。</w:t>
      </w:r>
    </w:p>
    <w:p w14:paraId="1DA64E46">
      <w:pPr>
        <w:spacing w:line="300" w:lineRule="exact"/>
        <w:rPr>
          <w:rFonts w:hint="eastAsia" w:ascii="黑体" w:eastAsia="黑体"/>
          <w:b/>
          <w:szCs w:val="21"/>
        </w:rPr>
      </w:pPr>
      <w:r>
        <w:rPr>
          <w:rFonts w:hint="eastAsia" w:ascii="黑体" w:eastAsia="黑体"/>
          <w:b/>
          <w:szCs w:val="21"/>
        </w:rPr>
        <w:t>3.3次要缺陷：单位产品的一般性质量特征不符合规定或单位产品的质量特性轻微不符合规定，对产品的使用性能没有影响或只有轻微影响的项目。</w:t>
      </w:r>
    </w:p>
    <w:p w14:paraId="60BD2658">
      <w:pPr>
        <w:numPr>
          <w:ilvl w:val="0"/>
          <w:numId w:val="2"/>
        </w:numPr>
        <w:spacing w:line="300" w:lineRule="exact"/>
        <w:rPr>
          <w:rFonts w:hint="eastAsia" w:ascii="黑体" w:eastAsia="黑体"/>
          <w:b/>
          <w:szCs w:val="21"/>
        </w:rPr>
      </w:pPr>
      <w:r>
        <w:rPr>
          <w:rFonts w:hint="eastAsia" w:ascii="黑体" w:eastAsia="黑体"/>
          <w:b/>
          <w:szCs w:val="21"/>
        </w:rPr>
        <w:t>.规范</w:t>
      </w:r>
    </w:p>
    <w:p w14:paraId="3C1DDD34">
      <w:pPr>
        <w:spacing w:line="300" w:lineRule="exact"/>
        <w:rPr>
          <w:rFonts w:hint="eastAsia" w:ascii="黑体" w:eastAsia="黑体"/>
          <w:b/>
          <w:szCs w:val="21"/>
        </w:rPr>
      </w:pPr>
      <w:r>
        <w:rPr>
          <w:rFonts w:hint="eastAsia" w:ascii="黑体" w:eastAsia="黑体"/>
          <w:b/>
          <w:szCs w:val="21"/>
        </w:rPr>
        <w:t>4..1检验项目与检验标准</w:t>
      </w:r>
    </w:p>
    <w:p w14:paraId="00ACBEDC">
      <w:pPr>
        <w:spacing w:line="300" w:lineRule="exact"/>
        <w:rPr>
          <w:rFonts w:hint="eastAsia" w:ascii="黑体" w:eastAsia="黑体"/>
          <w:b/>
          <w:szCs w:val="21"/>
        </w:rPr>
      </w:pPr>
      <w:r>
        <w:rPr>
          <w:rFonts w:hint="eastAsia" w:ascii="黑体" w:eastAsia="黑体"/>
          <w:b/>
          <w:szCs w:val="21"/>
        </w:rPr>
        <w:t xml:space="preserve">4.1.1原料按照下表内容进行检验，检验结果记录在《来料检验报告》中。 </w:t>
      </w:r>
    </w:p>
    <w:tbl>
      <w:tblPr>
        <w:tblStyle w:val="20"/>
        <w:tblW w:w="10711" w:type="dxa"/>
        <w:tblInd w:w="-176" w:type="dxa"/>
        <w:tblLayout w:type="fixed"/>
        <w:tblCellMar>
          <w:top w:w="0" w:type="dxa"/>
          <w:left w:w="108" w:type="dxa"/>
          <w:bottom w:w="0" w:type="dxa"/>
          <w:right w:w="108" w:type="dxa"/>
        </w:tblCellMar>
      </w:tblPr>
      <w:tblGrid>
        <w:gridCol w:w="1511"/>
        <w:gridCol w:w="5629"/>
        <w:gridCol w:w="962"/>
        <w:gridCol w:w="1098"/>
        <w:gridCol w:w="1511"/>
      </w:tblGrid>
      <w:tr w14:paraId="17C57701">
        <w:tblPrEx>
          <w:tblCellMar>
            <w:top w:w="0" w:type="dxa"/>
            <w:left w:w="108" w:type="dxa"/>
            <w:bottom w:w="0" w:type="dxa"/>
            <w:right w:w="108" w:type="dxa"/>
          </w:tblCellMar>
        </w:tblPrEx>
        <w:trPr>
          <w:wBefore w:w="0" w:type="dxa"/>
          <w:wAfter w:w="0" w:type="dxa"/>
          <w:trHeight w:val="260" w:hRule="atLeast"/>
        </w:trPr>
        <w:tc>
          <w:tcPr>
            <w:tcW w:w="1511" w:type="dxa"/>
            <w:tcBorders>
              <w:top w:val="single" w:color="auto" w:sz="4" w:space="0"/>
              <w:left w:val="single" w:color="auto" w:sz="4" w:space="0"/>
              <w:bottom w:val="single" w:color="auto" w:sz="4" w:space="0"/>
              <w:right w:val="single" w:color="auto" w:sz="4" w:space="0"/>
            </w:tcBorders>
            <w:noWrap w:val="0"/>
            <w:vAlign w:val="center"/>
          </w:tcPr>
          <w:p w14:paraId="6F622C0B">
            <w:pPr>
              <w:widowControl/>
              <w:spacing w:line="300" w:lineRule="exact"/>
              <w:jc w:val="center"/>
              <w:rPr>
                <w:rFonts w:ascii="黑体" w:hAnsi="宋体" w:eastAsia="黑体" w:cs="宋体"/>
                <w:b/>
                <w:kern w:val="0"/>
                <w:szCs w:val="21"/>
              </w:rPr>
            </w:pPr>
            <w:r>
              <w:rPr>
                <w:rFonts w:hint="eastAsia" w:ascii="黑体" w:hAnsi="宋体" w:eastAsia="黑体" w:cs="宋体"/>
                <w:b/>
                <w:kern w:val="0"/>
                <w:szCs w:val="21"/>
              </w:rPr>
              <w:t>检查项目</w:t>
            </w:r>
          </w:p>
        </w:tc>
        <w:tc>
          <w:tcPr>
            <w:tcW w:w="5629" w:type="dxa"/>
            <w:tcBorders>
              <w:top w:val="single" w:color="auto" w:sz="4" w:space="0"/>
              <w:left w:val="nil"/>
              <w:bottom w:val="single" w:color="auto" w:sz="4" w:space="0"/>
              <w:right w:val="single" w:color="auto" w:sz="4" w:space="0"/>
            </w:tcBorders>
            <w:noWrap w:val="0"/>
            <w:vAlign w:val="center"/>
          </w:tcPr>
          <w:p w14:paraId="3599F1F9">
            <w:pPr>
              <w:widowControl/>
              <w:spacing w:line="300" w:lineRule="exact"/>
              <w:jc w:val="center"/>
              <w:rPr>
                <w:rFonts w:ascii="黑体" w:hAnsi="宋体" w:eastAsia="黑体" w:cs="宋体"/>
                <w:b/>
                <w:kern w:val="0"/>
                <w:szCs w:val="21"/>
              </w:rPr>
            </w:pPr>
            <w:r>
              <w:rPr>
                <w:rFonts w:hint="eastAsia" w:ascii="黑体" w:hAnsi="宋体" w:eastAsia="黑体" w:cs="宋体"/>
                <w:b/>
                <w:kern w:val="0"/>
                <w:szCs w:val="21"/>
              </w:rPr>
              <w:t>特征</w:t>
            </w:r>
          </w:p>
        </w:tc>
        <w:tc>
          <w:tcPr>
            <w:tcW w:w="962" w:type="dxa"/>
            <w:tcBorders>
              <w:top w:val="single" w:color="auto" w:sz="4" w:space="0"/>
              <w:left w:val="nil"/>
              <w:bottom w:val="single" w:color="auto" w:sz="4" w:space="0"/>
              <w:right w:val="single" w:color="auto" w:sz="4" w:space="0"/>
            </w:tcBorders>
            <w:noWrap w:val="0"/>
            <w:vAlign w:val="center"/>
          </w:tcPr>
          <w:p w14:paraId="3DD5F397">
            <w:pPr>
              <w:widowControl/>
              <w:spacing w:line="300" w:lineRule="exact"/>
              <w:jc w:val="center"/>
              <w:rPr>
                <w:rFonts w:ascii="黑体" w:hAnsi="宋体" w:eastAsia="黑体" w:cs="宋体"/>
                <w:b/>
                <w:kern w:val="0"/>
                <w:szCs w:val="21"/>
              </w:rPr>
            </w:pPr>
            <w:r>
              <w:rPr>
                <w:rFonts w:hint="eastAsia" w:ascii="黑体" w:hAnsi="宋体" w:eastAsia="黑体" w:cs="宋体"/>
                <w:b/>
                <w:kern w:val="0"/>
                <w:szCs w:val="21"/>
              </w:rPr>
              <w:t>方法</w:t>
            </w:r>
          </w:p>
        </w:tc>
        <w:tc>
          <w:tcPr>
            <w:tcW w:w="1098" w:type="dxa"/>
            <w:tcBorders>
              <w:top w:val="single" w:color="auto" w:sz="4" w:space="0"/>
              <w:left w:val="nil"/>
              <w:bottom w:val="single" w:color="auto" w:sz="4" w:space="0"/>
              <w:right w:val="single" w:color="auto" w:sz="4" w:space="0"/>
            </w:tcBorders>
            <w:noWrap w:val="0"/>
            <w:vAlign w:val="center"/>
          </w:tcPr>
          <w:p w14:paraId="062BB786">
            <w:pPr>
              <w:widowControl/>
              <w:spacing w:line="300" w:lineRule="exact"/>
              <w:jc w:val="center"/>
              <w:rPr>
                <w:rFonts w:ascii="黑体" w:hAnsi="宋体" w:eastAsia="黑体" w:cs="宋体"/>
                <w:b/>
                <w:kern w:val="0"/>
                <w:szCs w:val="21"/>
              </w:rPr>
            </w:pPr>
            <w:r>
              <w:rPr>
                <w:rFonts w:hint="eastAsia" w:ascii="黑体" w:hAnsi="宋体" w:eastAsia="黑体" w:cs="宋体"/>
                <w:b/>
                <w:kern w:val="0"/>
                <w:szCs w:val="21"/>
              </w:rPr>
              <w:t>工具</w:t>
            </w:r>
          </w:p>
        </w:tc>
        <w:tc>
          <w:tcPr>
            <w:tcW w:w="1511" w:type="dxa"/>
            <w:tcBorders>
              <w:top w:val="single" w:color="auto" w:sz="4" w:space="0"/>
              <w:left w:val="nil"/>
              <w:bottom w:val="single" w:color="auto" w:sz="4" w:space="0"/>
              <w:right w:val="single" w:color="auto" w:sz="4" w:space="0"/>
            </w:tcBorders>
            <w:noWrap w:val="0"/>
            <w:vAlign w:val="center"/>
          </w:tcPr>
          <w:p w14:paraId="00D5F180">
            <w:pPr>
              <w:widowControl/>
              <w:spacing w:line="300" w:lineRule="exact"/>
              <w:jc w:val="center"/>
              <w:rPr>
                <w:rFonts w:ascii="黑体" w:hAnsi="宋体" w:eastAsia="黑体" w:cs="宋体"/>
                <w:b/>
                <w:kern w:val="0"/>
                <w:szCs w:val="21"/>
              </w:rPr>
            </w:pPr>
            <w:r>
              <w:rPr>
                <w:rFonts w:hint="eastAsia" w:ascii="黑体" w:hAnsi="宋体" w:eastAsia="黑体" w:cs="宋体"/>
                <w:b/>
                <w:kern w:val="0"/>
                <w:szCs w:val="21"/>
              </w:rPr>
              <w:t>水平</w:t>
            </w:r>
          </w:p>
        </w:tc>
      </w:tr>
      <w:tr w14:paraId="4152B8B0">
        <w:tblPrEx>
          <w:tblCellMar>
            <w:top w:w="0" w:type="dxa"/>
            <w:left w:w="108" w:type="dxa"/>
            <w:bottom w:w="0" w:type="dxa"/>
            <w:right w:w="108" w:type="dxa"/>
          </w:tblCellMar>
        </w:tblPrEx>
        <w:trPr>
          <w:wBefore w:w="0" w:type="dxa"/>
          <w:wAfter w:w="0" w:type="dxa"/>
          <w:trHeight w:val="312" w:hRule="atLeast"/>
        </w:trPr>
        <w:tc>
          <w:tcPr>
            <w:tcW w:w="1511" w:type="dxa"/>
            <w:vMerge w:val="restart"/>
            <w:tcBorders>
              <w:top w:val="nil"/>
              <w:left w:val="single" w:color="auto" w:sz="4" w:space="0"/>
              <w:bottom w:val="single" w:color="auto" w:sz="4" w:space="0"/>
              <w:right w:val="single" w:color="auto" w:sz="4" w:space="0"/>
            </w:tcBorders>
            <w:noWrap w:val="0"/>
            <w:vAlign w:val="center"/>
          </w:tcPr>
          <w:p w14:paraId="7C805FD9">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1.原料的符合性</w:t>
            </w:r>
          </w:p>
        </w:tc>
        <w:tc>
          <w:tcPr>
            <w:tcW w:w="5629" w:type="dxa"/>
            <w:tcBorders>
              <w:top w:val="nil"/>
              <w:left w:val="nil"/>
              <w:bottom w:val="single" w:color="auto" w:sz="4" w:space="0"/>
              <w:right w:val="single" w:color="auto" w:sz="4" w:space="0"/>
            </w:tcBorders>
            <w:noWrap w:val="0"/>
            <w:vAlign w:val="center"/>
          </w:tcPr>
          <w:p w14:paraId="4678B023">
            <w:pPr>
              <w:widowControl/>
              <w:spacing w:line="300" w:lineRule="exact"/>
              <w:jc w:val="left"/>
              <w:rPr>
                <w:rFonts w:ascii="黑体" w:hAnsi="宋体" w:eastAsia="黑体" w:cs="宋体"/>
                <w:b/>
                <w:kern w:val="0"/>
                <w:sz w:val="18"/>
                <w:szCs w:val="18"/>
              </w:rPr>
            </w:pPr>
            <w:r>
              <w:rPr>
                <w:rFonts w:hint="eastAsia" w:ascii="黑体" w:hAnsi="宋体" w:eastAsia="黑体" w:cs="宋体"/>
                <w:b/>
                <w:kern w:val="0"/>
                <w:sz w:val="18"/>
                <w:szCs w:val="18"/>
              </w:rPr>
              <w:t>原料牌号代号、供应商名称、颜色、代码等是否同要求一致。</w:t>
            </w:r>
          </w:p>
        </w:tc>
        <w:tc>
          <w:tcPr>
            <w:tcW w:w="962" w:type="dxa"/>
            <w:vMerge w:val="restart"/>
            <w:tcBorders>
              <w:top w:val="nil"/>
              <w:left w:val="single" w:color="auto" w:sz="4" w:space="0"/>
              <w:bottom w:val="single" w:color="auto" w:sz="4" w:space="0"/>
              <w:right w:val="single" w:color="auto" w:sz="4" w:space="0"/>
            </w:tcBorders>
            <w:noWrap w:val="0"/>
            <w:vAlign w:val="center"/>
          </w:tcPr>
          <w:p w14:paraId="4239B985">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批控制</w:t>
            </w:r>
          </w:p>
        </w:tc>
        <w:tc>
          <w:tcPr>
            <w:tcW w:w="1098" w:type="dxa"/>
            <w:vMerge w:val="restart"/>
            <w:tcBorders>
              <w:top w:val="nil"/>
              <w:left w:val="single" w:color="auto" w:sz="4" w:space="0"/>
              <w:bottom w:val="single" w:color="auto" w:sz="4" w:space="0"/>
              <w:right w:val="single" w:color="auto" w:sz="4" w:space="0"/>
            </w:tcBorders>
            <w:noWrap w:val="0"/>
            <w:vAlign w:val="center"/>
          </w:tcPr>
          <w:p w14:paraId="3F10B459">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目测</w:t>
            </w:r>
          </w:p>
        </w:tc>
        <w:tc>
          <w:tcPr>
            <w:tcW w:w="1511" w:type="dxa"/>
            <w:vMerge w:val="restart"/>
            <w:tcBorders>
              <w:top w:val="nil"/>
              <w:left w:val="single" w:color="auto" w:sz="4" w:space="0"/>
              <w:bottom w:val="single" w:color="auto" w:sz="4" w:space="0"/>
              <w:right w:val="single" w:color="auto" w:sz="4" w:space="0"/>
            </w:tcBorders>
            <w:noWrap w:val="0"/>
            <w:vAlign w:val="center"/>
          </w:tcPr>
          <w:p w14:paraId="25D2ECE9">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100%</w:t>
            </w:r>
          </w:p>
        </w:tc>
      </w:tr>
      <w:tr w14:paraId="4285766D">
        <w:tblPrEx>
          <w:tblCellMar>
            <w:top w:w="0" w:type="dxa"/>
            <w:left w:w="108" w:type="dxa"/>
            <w:bottom w:w="0" w:type="dxa"/>
            <w:right w:w="108" w:type="dxa"/>
          </w:tblCellMar>
        </w:tblPrEx>
        <w:trPr>
          <w:wBefore w:w="0" w:type="dxa"/>
          <w:wAfter w:w="0" w:type="dxa"/>
          <w:trHeight w:val="316" w:hRule="atLeast"/>
        </w:trPr>
        <w:tc>
          <w:tcPr>
            <w:tcW w:w="1511" w:type="dxa"/>
            <w:vMerge w:val="continue"/>
            <w:tcBorders>
              <w:top w:val="nil"/>
              <w:left w:val="single" w:color="auto" w:sz="4" w:space="0"/>
              <w:bottom w:val="single" w:color="auto" w:sz="4" w:space="0"/>
              <w:right w:val="single" w:color="auto" w:sz="4" w:space="0"/>
            </w:tcBorders>
            <w:noWrap w:val="0"/>
            <w:vAlign w:val="center"/>
          </w:tcPr>
          <w:p w14:paraId="0E2C1538">
            <w:pPr>
              <w:widowControl/>
              <w:jc w:val="left"/>
              <w:rPr>
                <w:rFonts w:ascii="黑体" w:hAnsi="宋体" w:eastAsia="黑体" w:cs="宋体"/>
                <w:b/>
                <w:kern w:val="0"/>
                <w:sz w:val="18"/>
                <w:szCs w:val="18"/>
              </w:rPr>
            </w:pPr>
          </w:p>
        </w:tc>
        <w:tc>
          <w:tcPr>
            <w:tcW w:w="5629" w:type="dxa"/>
            <w:tcBorders>
              <w:top w:val="nil"/>
              <w:left w:val="nil"/>
              <w:bottom w:val="single" w:color="auto" w:sz="4" w:space="0"/>
              <w:right w:val="single" w:color="auto" w:sz="4" w:space="0"/>
            </w:tcBorders>
            <w:noWrap w:val="0"/>
            <w:vAlign w:val="center"/>
          </w:tcPr>
          <w:p w14:paraId="78F69356">
            <w:pPr>
              <w:widowControl/>
              <w:spacing w:line="300" w:lineRule="exact"/>
              <w:jc w:val="left"/>
              <w:rPr>
                <w:rFonts w:ascii="黑体" w:hAnsi="宋体" w:eastAsia="黑体" w:cs="宋体"/>
                <w:b/>
                <w:kern w:val="0"/>
                <w:sz w:val="18"/>
                <w:szCs w:val="18"/>
              </w:rPr>
            </w:pPr>
            <w:r>
              <w:rPr>
                <w:rFonts w:hint="eastAsia" w:ascii="黑体" w:hAnsi="宋体" w:eastAsia="黑体" w:cs="宋体"/>
                <w:b/>
                <w:kern w:val="0"/>
                <w:sz w:val="18"/>
                <w:szCs w:val="18"/>
              </w:rPr>
              <w:t>检测报告或检验记录是否与来料一致。</w:t>
            </w:r>
          </w:p>
        </w:tc>
        <w:tc>
          <w:tcPr>
            <w:tcW w:w="962" w:type="dxa"/>
            <w:vMerge w:val="continue"/>
            <w:tcBorders>
              <w:top w:val="nil"/>
              <w:left w:val="single" w:color="auto" w:sz="4" w:space="0"/>
              <w:bottom w:val="single" w:color="auto" w:sz="4" w:space="0"/>
              <w:right w:val="single" w:color="auto" w:sz="4" w:space="0"/>
            </w:tcBorders>
            <w:noWrap w:val="0"/>
            <w:vAlign w:val="center"/>
          </w:tcPr>
          <w:p w14:paraId="494E8BEC">
            <w:pPr>
              <w:widowControl/>
              <w:jc w:val="left"/>
              <w:rPr>
                <w:rFonts w:ascii="黑体" w:hAnsi="宋体" w:eastAsia="黑体" w:cs="宋体"/>
                <w:b/>
                <w:kern w:val="0"/>
                <w:sz w:val="18"/>
                <w:szCs w:val="18"/>
              </w:rPr>
            </w:pPr>
          </w:p>
        </w:tc>
        <w:tc>
          <w:tcPr>
            <w:tcW w:w="1098" w:type="dxa"/>
            <w:vMerge w:val="continue"/>
            <w:tcBorders>
              <w:top w:val="nil"/>
              <w:left w:val="single" w:color="auto" w:sz="4" w:space="0"/>
              <w:bottom w:val="single" w:color="auto" w:sz="4" w:space="0"/>
              <w:right w:val="single" w:color="auto" w:sz="4" w:space="0"/>
            </w:tcBorders>
            <w:noWrap w:val="0"/>
            <w:vAlign w:val="center"/>
          </w:tcPr>
          <w:p w14:paraId="745C2B11">
            <w:pPr>
              <w:widowControl/>
              <w:jc w:val="left"/>
              <w:rPr>
                <w:rFonts w:ascii="黑体" w:hAnsi="宋体" w:eastAsia="黑体" w:cs="宋体"/>
                <w:b/>
                <w:kern w:val="0"/>
                <w:sz w:val="18"/>
                <w:szCs w:val="18"/>
              </w:rPr>
            </w:pPr>
          </w:p>
        </w:tc>
        <w:tc>
          <w:tcPr>
            <w:tcW w:w="1511" w:type="dxa"/>
            <w:vMerge w:val="continue"/>
            <w:tcBorders>
              <w:top w:val="nil"/>
              <w:left w:val="single" w:color="auto" w:sz="4" w:space="0"/>
              <w:bottom w:val="single" w:color="auto" w:sz="4" w:space="0"/>
              <w:right w:val="single" w:color="auto" w:sz="4" w:space="0"/>
            </w:tcBorders>
            <w:noWrap w:val="0"/>
            <w:vAlign w:val="center"/>
          </w:tcPr>
          <w:p w14:paraId="0E42E197">
            <w:pPr>
              <w:widowControl/>
              <w:jc w:val="left"/>
              <w:rPr>
                <w:rFonts w:ascii="黑体" w:hAnsi="宋体" w:eastAsia="黑体" w:cs="宋体"/>
                <w:b/>
                <w:kern w:val="0"/>
                <w:sz w:val="18"/>
                <w:szCs w:val="18"/>
              </w:rPr>
            </w:pPr>
          </w:p>
        </w:tc>
      </w:tr>
      <w:tr w14:paraId="0C196CE2">
        <w:tblPrEx>
          <w:tblCellMar>
            <w:top w:w="0" w:type="dxa"/>
            <w:left w:w="108" w:type="dxa"/>
            <w:bottom w:w="0" w:type="dxa"/>
            <w:right w:w="108" w:type="dxa"/>
          </w:tblCellMar>
        </w:tblPrEx>
        <w:trPr>
          <w:wBefore w:w="0" w:type="dxa"/>
          <w:wAfter w:w="0" w:type="dxa"/>
          <w:trHeight w:val="275" w:hRule="atLeast"/>
        </w:trPr>
        <w:tc>
          <w:tcPr>
            <w:tcW w:w="1511" w:type="dxa"/>
            <w:vMerge w:val="continue"/>
            <w:tcBorders>
              <w:top w:val="nil"/>
              <w:left w:val="single" w:color="auto" w:sz="4" w:space="0"/>
              <w:bottom w:val="single" w:color="auto" w:sz="4" w:space="0"/>
              <w:right w:val="single" w:color="auto" w:sz="4" w:space="0"/>
            </w:tcBorders>
            <w:noWrap w:val="0"/>
            <w:vAlign w:val="center"/>
          </w:tcPr>
          <w:p w14:paraId="36DF7980">
            <w:pPr>
              <w:widowControl/>
              <w:jc w:val="left"/>
              <w:rPr>
                <w:rFonts w:ascii="黑体" w:hAnsi="宋体" w:eastAsia="黑体" w:cs="宋体"/>
                <w:b/>
                <w:kern w:val="0"/>
                <w:sz w:val="18"/>
                <w:szCs w:val="18"/>
              </w:rPr>
            </w:pPr>
          </w:p>
        </w:tc>
        <w:tc>
          <w:tcPr>
            <w:tcW w:w="5629" w:type="dxa"/>
            <w:tcBorders>
              <w:top w:val="nil"/>
              <w:left w:val="nil"/>
              <w:bottom w:val="single" w:color="auto" w:sz="4" w:space="0"/>
              <w:right w:val="single" w:color="auto" w:sz="4" w:space="0"/>
            </w:tcBorders>
            <w:noWrap w:val="0"/>
            <w:vAlign w:val="center"/>
          </w:tcPr>
          <w:p w14:paraId="1FC804E7">
            <w:pPr>
              <w:widowControl/>
              <w:spacing w:line="300" w:lineRule="exact"/>
              <w:jc w:val="left"/>
              <w:rPr>
                <w:rFonts w:ascii="黑体" w:hAnsi="宋体" w:eastAsia="黑体" w:cs="宋体"/>
                <w:b/>
                <w:kern w:val="0"/>
                <w:sz w:val="18"/>
                <w:szCs w:val="18"/>
              </w:rPr>
            </w:pPr>
            <w:r>
              <w:rPr>
                <w:rFonts w:hint="eastAsia" w:ascii="黑体" w:hAnsi="宋体" w:eastAsia="黑体" w:cs="宋体"/>
                <w:b/>
                <w:kern w:val="0"/>
                <w:sz w:val="18"/>
                <w:szCs w:val="18"/>
              </w:rPr>
              <w:t>原材料牌号、批号或生产日期应清晰可辨。</w:t>
            </w:r>
          </w:p>
        </w:tc>
        <w:tc>
          <w:tcPr>
            <w:tcW w:w="962" w:type="dxa"/>
            <w:vMerge w:val="continue"/>
            <w:tcBorders>
              <w:top w:val="nil"/>
              <w:left w:val="single" w:color="auto" w:sz="4" w:space="0"/>
              <w:bottom w:val="single" w:color="auto" w:sz="4" w:space="0"/>
              <w:right w:val="single" w:color="auto" w:sz="4" w:space="0"/>
            </w:tcBorders>
            <w:noWrap w:val="0"/>
            <w:vAlign w:val="center"/>
          </w:tcPr>
          <w:p w14:paraId="15DB6345">
            <w:pPr>
              <w:widowControl/>
              <w:jc w:val="left"/>
              <w:rPr>
                <w:rFonts w:ascii="黑体" w:hAnsi="宋体" w:eastAsia="黑体" w:cs="宋体"/>
                <w:b/>
                <w:kern w:val="0"/>
                <w:sz w:val="18"/>
                <w:szCs w:val="18"/>
              </w:rPr>
            </w:pPr>
          </w:p>
        </w:tc>
        <w:tc>
          <w:tcPr>
            <w:tcW w:w="1098" w:type="dxa"/>
            <w:vMerge w:val="continue"/>
            <w:tcBorders>
              <w:top w:val="nil"/>
              <w:left w:val="single" w:color="auto" w:sz="4" w:space="0"/>
              <w:bottom w:val="single" w:color="auto" w:sz="4" w:space="0"/>
              <w:right w:val="single" w:color="auto" w:sz="4" w:space="0"/>
            </w:tcBorders>
            <w:noWrap w:val="0"/>
            <w:vAlign w:val="center"/>
          </w:tcPr>
          <w:p w14:paraId="5FE94CA7">
            <w:pPr>
              <w:widowControl/>
              <w:jc w:val="left"/>
              <w:rPr>
                <w:rFonts w:ascii="黑体" w:hAnsi="宋体" w:eastAsia="黑体" w:cs="宋体"/>
                <w:b/>
                <w:kern w:val="0"/>
                <w:sz w:val="18"/>
                <w:szCs w:val="18"/>
              </w:rPr>
            </w:pPr>
          </w:p>
        </w:tc>
        <w:tc>
          <w:tcPr>
            <w:tcW w:w="1511" w:type="dxa"/>
            <w:vMerge w:val="continue"/>
            <w:tcBorders>
              <w:top w:val="nil"/>
              <w:left w:val="single" w:color="auto" w:sz="4" w:space="0"/>
              <w:bottom w:val="single" w:color="auto" w:sz="4" w:space="0"/>
              <w:right w:val="single" w:color="auto" w:sz="4" w:space="0"/>
            </w:tcBorders>
            <w:noWrap w:val="0"/>
            <w:vAlign w:val="center"/>
          </w:tcPr>
          <w:p w14:paraId="700E03C4">
            <w:pPr>
              <w:widowControl/>
              <w:jc w:val="left"/>
              <w:rPr>
                <w:rFonts w:ascii="黑体" w:hAnsi="宋体" w:eastAsia="黑体" w:cs="宋体"/>
                <w:b/>
                <w:kern w:val="0"/>
                <w:sz w:val="18"/>
                <w:szCs w:val="18"/>
              </w:rPr>
            </w:pPr>
          </w:p>
        </w:tc>
      </w:tr>
      <w:tr w14:paraId="1E29C8FC">
        <w:tblPrEx>
          <w:tblCellMar>
            <w:top w:w="0" w:type="dxa"/>
            <w:left w:w="108" w:type="dxa"/>
            <w:bottom w:w="0" w:type="dxa"/>
            <w:right w:w="108" w:type="dxa"/>
          </w:tblCellMar>
        </w:tblPrEx>
        <w:trPr>
          <w:wBefore w:w="0" w:type="dxa"/>
          <w:wAfter w:w="0" w:type="dxa"/>
          <w:trHeight w:val="306" w:hRule="atLeast"/>
        </w:trPr>
        <w:tc>
          <w:tcPr>
            <w:tcW w:w="1511" w:type="dxa"/>
            <w:tcBorders>
              <w:top w:val="nil"/>
              <w:left w:val="single" w:color="auto" w:sz="4" w:space="0"/>
              <w:bottom w:val="single" w:color="auto" w:sz="4" w:space="0"/>
              <w:right w:val="single" w:color="auto" w:sz="4" w:space="0"/>
            </w:tcBorders>
            <w:noWrap w:val="0"/>
            <w:vAlign w:val="center"/>
          </w:tcPr>
          <w:p w14:paraId="7BF6C0E5">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2.包装</w:t>
            </w:r>
          </w:p>
        </w:tc>
        <w:tc>
          <w:tcPr>
            <w:tcW w:w="5629" w:type="dxa"/>
            <w:tcBorders>
              <w:top w:val="nil"/>
              <w:left w:val="nil"/>
              <w:bottom w:val="single" w:color="auto" w:sz="4" w:space="0"/>
              <w:right w:val="single" w:color="auto" w:sz="4" w:space="0"/>
            </w:tcBorders>
            <w:noWrap w:val="0"/>
            <w:vAlign w:val="center"/>
          </w:tcPr>
          <w:p w14:paraId="347B3AFC">
            <w:pPr>
              <w:widowControl/>
              <w:spacing w:line="300" w:lineRule="exact"/>
              <w:jc w:val="left"/>
              <w:rPr>
                <w:rFonts w:ascii="黑体" w:hAnsi="宋体" w:eastAsia="黑体" w:cs="宋体"/>
                <w:b/>
                <w:kern w:val="0"/>
                <w:sz w:val="18"/>
                <w:szCs w:val="18"/>
              </w:rPr>
            </w:pPr>
            <w:r>
              <w:rPr>
                <w:rFonts w:hint="eastAsia" w:ascii="黑体" w:hAnsi="宋体" w:eastAsia="黑体" w:cs="宋体"/>
                <w:b/>
                <w:kern w:val="0"/>
                <w:sz w:val="18"/>
                <w:szCs w:val="18"/>
              </w:rPr>
              <w:t>包装必须完好无损，不可有潮湿、破裂现象，封口应严密。</w:t>
            </w:r>
          </w:p>
        </w:tc>
        <w:tc>
          <w:tcPr>
            <w:tcW w:w="962" w:type="dxa"/>
            <w:tcBorders>
              <w:top w:val="nil"/>
              <w:left w:val="nil"/>
              <w:bottom w:val="single" w:color="auto" w:sz="4" w:space="0"/>
              <w:right w:val="single" w:color="auto" w:sz="4" w:space="0"/>
            </w:tcBorders>
            <w:noWrap w:val="0"/>
            <w:vAlign w:val="center"/>
          </w:tcPr>
          <w:p w14:paraId="6537935C">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批控制</w:t>
            </w:r>
          </w:p>
        </w:tc>
        <w:tc>
          <w:tcPr>
            <w:tcW w:w="1098" w:type="dxa"/>
            <w:tcBorders>
              <w:top w:val="nil"/>
              <w:left w:val="nil"/>
              <w:bottom w:val="single" w:color="auto" w:sz="4" w:space="0"/>
              <w:right w:val="single" w:color="auto" w:sz="4" w:space="0"/>
            </w:tcBorders>
            <w:noWrap w:val="0"/>
            <w:vAlign w:val="center"/>
          </w:tcPr>
          <w:p w14:paraId="4244CA31">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目测</w:t>
            </w:r>
          </w:p>
        </w:tc>
        <w:tc>
          <w:tcPr>
            <w:tcW w:w="1511" w:type="dxa"/>
            <w:tcBorders>
              <w:top w:val="nil"/>
              <w:left w:val="nil"/>
              <w:bottom w:val="single" w:color="auto" w:sz="4" w:space="0"/>
              <w:right w:val="single" w:color="auto" w:sz="4" w:space="0"/>
            </w:tcBorders>
            <w:noWrap w:val="0"/>
            <w:vAlign w:val="center"/>
          </w:tcPr>
          <w:p w14:paraId="1FB0E022">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100%</w:t>
            </w:r>
          </w:p>
        </w:tc>
      </w:tr>
      <w:tr w14:paraId="390715F6">
        <w:tblPrEx>
          <w:tblCellMar>
            <w:top w:w="0" w:type="dxa"/>
            <w:left w:w="108" w:type="dxa"/>
            <w:bottom w:w="0" w:type="dxa"/>
            <w:right w:w="108" w:type="dxa"/>
          </w:tblCellMar>
        </w:tblPrEx>
        <w:trPr>
          <w:wBefore w:w="0" w:type="dxa"/>
          <w:wAfter w:w="0" w:type="dxa"/>
          <w:trHeight w:val="453" w:hRule="atLeast"/>
        </w:trPr>
        <w:tc>
          <w:tcPr>
            <w:tcW w:w="1511" w:type="dxa"/>
            <w:vMerge w:val="restart"/>
            <w:tcBorders>
              <w:top w:val="nil"/>
              <w:left w:val="single" w:color="auto" w:sz="4" w:space="0"/>
              <w:bottom w:val="single" w:color="auto" w:sz="4" w:space="0"/>
              <w:right w:val="single" w:color="auto" w:sz="4" w:space="0"/>
            </w:tcBorders>
            <w:noWrap w:val="0"/>
            <w:vAlign w:val="center"/>
          </w:tcPr>
          <w:p w14:paraId="608F714A">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3.外观</w:t>
            </w:r>
          </w:p>
        </w:tc>
        <w:tc>
          <w:tcPr>
            <w:tcW w:w="5629" w:type="dxa"/>
            <w:tcBorders>
              <w:top w:val="nil"/>
              <w:left w:val="nil"/>
              <w:bottom w:val="single" w:color="auto" w:sz="4" w:space="0"/>
              <w:right w:val="single" w:color="auto" w:sz="4" w:space="0"/>
            </w:tcBorders>
            <w:noWrap w:val="0"/>
            <w:vAlign w:val="center"/>
          </w:tcPr>
          <w:p w14:paraId="2599B489">
            <w:pPr>
              <w:widowControl/>
              <w:spacing w:line="300" w:lineRule="exact"/>
              <w:jc w:val="left"/>
              <w:rPr>
                <w:rFonts w:ascii="黑体" w:hAnsi="宋体" w:eastAsia="黑体" w:cs="宋体"/>
                <w:b/>
                <w:kern w:val="0"/>
                <w:sz w:val="18"/>
                <w:szCs w:val="18"/>
              </w:rPr>
            </w:pPr>
            <w:r>
              <w:rPr>
                <w:rFonts w:hint="eastAsia" w:ascii="黑体" w:hAnsi="宋体" w:eastAsia="黑体" w:cs="宋体"/>
                <w:b/>
                <w:kern w:val="0"/>
                <w:sz w:val="18"/>
                <w:szCs w:val="18"/>
              </w:rPr>
              <w:t>原料中不能有肉眼可见的黑点、杂质等；原料颗粒的大小、形状应基本一致（切片允许有少量不规则）</w:t>
            </w:r>
          </w:p>
        </w:tc>
        <w:tc>
          <w:tcPr>
            <w:tcW w:w="962" w:type="dxa"/>
            <w:vMerge w:val="restart"/>
            <w:tcBorders>
              <w:top w:val="nil"/>
              <w:left w:val="single" w:color="auto" w:sz="4" w:space="0"/>
              <w:bottom w:val="single" w:color="auto" w:sz="4" w:space="0"/>
              <w:right w:val="single" w:color="auto" w:sz="4" w:space="0"/>
            </w:tcBorders>
            <w:noWrap w:val="0"/>
            <w:vAlign w:val="center"/>
          </w:tcPr>
          <w:p w14:paraId="51F91EE1">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批控制</w:t>
            </w:r>
          </w:p>
        </w:tc>
        <w:tc>
          <w:tcPr>
            <w:tcW w:w="1098" w:type="dxa"/>
            <w:vMerge w:val="restart"/>
            <w:tcBorders>
              <w:top w:val="nil"/>
              <w:left w:val="single" w:color="auto" w:sz="4" w:space="0"/>
              <w:bottom w:val="single" w:color="auto" w:sz="4" w:space="0"/>
              <w:right w:val="single" w:color="auto" w:sz="4" w:space="0"/>
            </w:tcBorders>
            <w:noWrap w:val="0"/>
            <w:vAlign w:val="center"/>
          </w:tcPr>
          <w:p w14:paraId="249504BB">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目测</w:t>
            </w:r>
          </w:p>
        </w:tc>
        <w:tc>
          <w:tcPr>
            <w:tcW w:w="1511" w:type="dxa"/>
            <w:vMerge w:val="restart"/>
            <w:tcBorders>
              <w:top w:val="nil"/>
              <w:left w:val="single" w:color="auto" w:sz="4" w:space="0"/>
              <w:bottom w:val="single" w:color="auto" w:sz="4" w:space="0"/>
              <w:right w:val="single" w:color="auto" w:sz="4" w:space="0"/>
            </w:tcBorders>
            <w:noWrap w:val="0"/>
            <w:vAlign w:val="center"/>
          </w:tcPr>
          <w:p w14:paraId="395B1F3F">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 xml:space="preserve">5包/批   </w:t>
            </w:r>
          </w:p>
        </w:tc>
      </w:tr>
      <w:tr w14:paraId="2CECF795">
        <w:tblPrEx>
          <w:tblCellMar>
            <w:top w:w="0" w:type="dxa"/>
            <w:left w:w="108" w:type="dxa"/>
            <w:bottom w:w="0" w:type="dxa"/>
            <w:right w:w="108" w:type="dxa"/>
          </w:tblCellMar>
        </w:tblPrEx>
        <w:trPr>
          <w:wBefore w:w="0" w:type="dxa"/>
          <w:wAfter w:w="0" w:type="dxa"/>
          <w:trHeight w:val="273" w:hRule="atLeast"/>
        </w:trPr>
        <w:tc>
          <w:tcPr>
            <w:tcW w:w="1511" w:type="dxa"/>
            <w:vMerge w:val="continue"/>
            <w:tcBorders>
              <w:top w:val="nil"/>
              <w:left w:val="single" w:color="auto" w:sz="4" w:space="0"/>
              <w:bottom w:val="single" w:color="auto" w:sz="4" w:space="0"/>
              <w:right w:val="single" w:color="auto" w:sz="4" w:space="0"/>
            </w:tcBorders>
            <w:noWrap w:val="0"/>
            <w:vAlign w:val="center"/>
          </w:tcPr>
          <w:p w14:paraId="24124F6C">
            <w:pPr>
              <w:widowControl/>
              <w:jc w:val="left"/>
              <w:rPr>
                <w:rFonts w:ascii="黑体" w:hAnsi="宋体" w:eastAsia="黑体" w:cs="宋体"/>
                <w:b/>
                <w:kern w:val="0"/>
                <w:sz w:val="18"/>
                <w:szCs w:val="18"/>
              </w:rPr>
            </w:pPr>
          </w:p>
        </w:tc>
        <w:tc>
          <w:tcPr>
            <w:tcW w:w="5629" w:type="dxa"/>
            <w:tcBorders>
              <w:top w:val="nil"/>
              <w:left w:val="nil"/>
              <w:bottom w:val="single" w:color="auto" w:sz="4" w:space="0"/>
              <w:right w:val="single" w:color="auto" w:sz="4" w:space="0"/>
            </w:tcBorders>
            <w:noWrap w:val="0"/>
            <w:vAlign w:val="center"/>
          </w:tcPr>
          <w:p w14:paraId="0CE0512A">
            <w:pPr>
              <w:widowControl/>
              <w:spacing w:line="300" w:lineRule="exact"/>
              <w:jc w:val="left"/>
              <w:rPr>
                <w:rFonts w:ascii="黑体" w:hAnsi="宋体" w:eastAsia="黑体" w:cs="宋体"/>
                <w:b/>
                <w:kern w:val="0"/>
                <w:sz w:val="18"/>
                <w:szCs w:val="18"/>
              </w:rPr>
            </w:pPr>
            <w:r>
              <w:rPr>
                <w:rFonts w:hint="eastAsia" w:ascii="黑体" w:hAnsi="宋体" w:eastAsia="黑体" w:cs="宋体"/>
                <w:b/>
                <w:kern w:val="0"/>
                <w:sz w:val="18"/>
                <w:szCs w:val="18"/>
              </w:rPr>
              <w:t>颜色同保留样品一致。</w:t>
            </w:r>
          </w:p>
        </w:tc>
        <w:tc>
          <w:tcPr>
            <w:tcW w:w="962" w:type="dxa"/>
            <w:vMerge w:val="continue"/>
            <w:tcBorders>
              <w:top w:val="nil"/>
              <w:left w:val="single" w:color="auto" w:sz="4" w:space="0"/>
              <w:bottom w:val="single" w:color="auto" w:sz="4" w:space="0"/>
              <w:right w:val="single" w:color="auto" w:sz="4" w:space="0"/>
            </w:tcBorders>
            <w:noWrap w:val="0"/>
            <w:vAlign w:val="center"/>
          </w:tcPr>
          <w:p w14:paraId="46848225">
            <w:pPr>
              <w:widowControl/>
              <w:jc w:val="left"/>
              <w:rPr>
                <w:rFonts w:ascii="黑体" w:hAnsi="宋体" w:eastAsia="黑体" w:cs="宋体"/>
                <w:b/>
                <w:kern w:val="0"/>
                <w:sz w:val="18"/>
                <w:szCs w:val="18"/>
              </w:rPr>
            </w:pPr>
          </w:p>
        </w:tc>
        <w:tc>
          <w:tcPr>
            <w:tcW w:w="1098" w:type="dxa"/>
            <w:vMerge w:val="continue"/>
            <w:tcBorders>
              <w:top w:val="nil"/>
              <w:left w:val="single" w:color="auto" w:sz="4" w:space="0"/>
              <w:bottom w:val="single" w:color="auto" w:sz="4" w:space="0"/>
              <w:right w:val="single" w:color="auto" w:sz="4" w:space="0"/>
            </w:tcBorders>
            <w:noWrap w:val="0"/>
            <w:vAlign w:val="center"/>
          </w:tcPr>
          <w:p w14:paraId="7F81036D">
            <w:pPr>
              <w:widowControl/>
              <w:jc w:val="left"/>
              <w:rPr>
                <w:rFonts w:ascii="黑体" w:hAnsi="宋体" w:eastAsia="黑体" w:cs="宋体"/>
                <w:b/>
                <w:kern w:val="0"/>
                <w:sz w:val="18"/>
                <w:szCs w:val="18"/>
              </w:rPr>
            </w:pPr>
          </w:p>
        </w:tc>
        <w:tc>
          <w:tcPr>
            <w:tcW w:w="1511" w:type="dxa"/>
            <w:vMerge w:val="continue"/>
            <w:tcBorders>
              <w:top w:val="nil"/>
              <w:left w:val="single" w:color="auto" w:sz="4" w:space="0"/>
              <w:bottom w:val="single" w:color="auto" w:sz="4" w:space="0"/>
              <w:right w:val="single" w:color="auto" w:sz="4" w:space="0"/>
            </w:tcBorders>
            <w:noWrap w:val="0"/>
            <w:vAlign w:val="center"/>
          </w:tcPr>
          <w:p w14:paraId="297F6EED">
            <w:pPr>
              <w:widowControl/>
              <w:jc w:val="left"/>
              <w:rPr>
                <w:rFonts w:ascii="黑体" w:hAnsi="宋体" w:eastAsia="黑体" w:cs="宋体"/>
                <w:b/>
                <w:kern w:val="0"/>
                <w:sz w:val="18"/>
                <w:szCs w:val="18"/>
              </w:rPr>
            </w:pPr>
          </w:p>
        </w:tc>
      </w:tr>
      <w:tr w14:paraId="75ADD78B">
        <w:tblPrEx>
          <w:tblCellMar>
            <w:top w:w="0" w:type="dxa"/>
            <w:left w:w="108" w:type="dxa"/>
            <w:bottom w:w="0" w:type="dxa"/>
            <w:right w:w="108" w:type="dxa"/>
          </w:tblCellMar>
        </w:tblPrEx>
        <w:trPr>
          <w:wBefore w:w="0" w:type="dxa"/>
          <w:wAfter w:w="0" w:type="dxa"/>
          <w:trHeight w:val="337" w:hRule="atLeast"/>
        </w:trPr>
        <w:tc>
          <w:tcPr>
            <w:tcW w:w="1511" w:type="dxa"/>
            <w:tcBorders>
              <w:top w:val="nil"/>
              <w:left w:val="single" w:color="auto" w:sz="4" w:space="0"/>
              <w:bottom w:val="single" w:color="auto" w:sz="4" w:space="0"/>
              <w:right w:val="single" w:color="auto" w:sz="4" w:space="0"/>
            </w:tcBorders>
            <w:noWrap w:val="0"/>
            <w:vAlign w:val="center"/>
          </w:tcPr>
          <w:p w14:paraId="22A66294">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4.手试</w:t>
            </w:r>
          </w:p>
        </w:tc>
        <w:tc>
          <w:tcPr>
            <w:tcW w:w="5629" w:type="dxa"/>
            <w:tcBorders>
              <w:top w:val="nil"/>
              <w:left w:val="nil"/>
              <w:bottom w:val="single" w:color="auto" w:sz="4" w:space="0"/>
              <w:right w:val="single" w:color="auto" w:sz="4" w:space="0"/>
            </w:tcBorders>
            <w:noWrap w:val="0"/>
            <w:vAlign w:val="center"/>
          </w:tcPr>
          <w:p w14:paraId="586F91F3">
            <w:pPr>
              <w:widowControl/>
              <w:spacing w:line="300" w:lineRule="exact"/>
              <w:jc w:val="left"/>
              <w:rPr>
                <w:rFonts w:ascii="黑体" w:hAnsi="宋体" w:eastAsia="黑体" w:cs="宋体"/>
                <w:b/>
                <w:kern w:val="0"/>
                <w:sz w:val="18"/>
                <w:szCs w:val="18"/>
              </w:rPr>
            </w:pPr>
            <w:r>
              <w:rPr>
                <w:rFonts w:hint="eastAsia" w:ascii="黑体" w:hAnsi="宋体" w:eastAsia="黑体" w:cs="宋体"/>
                <w:b/>
                <w:kern w:val="0"/>
                <w:sz w:val="18"/>
                <w:szCs w:val="18"/>
              </w:rPr>
              <w:t>将手插入原料颗粒中，抽出手掌，不能有附着的水珠或潮湿感。</w:t>
            </w:r>
          </w:p>
        </w:tc>
        <w:tc>
          <w:tcPr>
            <w:tcW w:w="962" w:type="dxa"/>
            <w:tcBorders>
              <w:top w:val="nil"/>
              <w:left w:val="nil"/>
              <w:bottom w:val="single" w:color="auto" w:sz="4" w:space="0"/>
              <w:right w:val="single" w:color="auto" w:sz="4" w:space="0"/>
            </w:tcBorders>
            <w:noWrap w:val="0"/>
            <w:vAlign w:val="center"/>
          </w:tcPr>
          <w:p w14:paraId="63090435">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批控制</w:t>
            </w:r>
          </w:p>
        </w:tc>
        <w:tc>
          <w:tcPr>
            <w:tcW w:w="1098" w:type="dxa"/>
            <w:tcBorders>
              <w:top w:val="nil"/>
              <w:left w:val="nil"/>
              <w:bottom w:val="single" w:color="auto" w:sz="4" w:space="0"/>
              <w:right w:val="single" w:color="auto" w:sz="4" w:space="0"/>
            </w:tcBorders>
            <w:noWrap w:val="0"/>
            <w:vAlign w:val="center"/>
          </w:tcPr>
          <w:p w14:paraId="13E2EA36">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手试</w:t>
            </w:r>
          </w:p>
        </w:tc>
        <w:tc>
          <w:tcPr>
            <w:tcW w:w="1511" w:type="dxa"/>
            <w:tcBorders>
              <w:top w:val="nil"/>
              <w:left w:val="nil"/>
              <w:bottom w:val="single" w:color="auto" w:sz="4" w:space="0"/>
              <w:right w:val="single" w:color="auto" w:sz="4" w:space="0"/>
            </w:tcBorders>
            <w:noWrap w:val="0"/>
            <w:vAlign w:val="center"/>
          </w:tcPr>
          <w:p w14:paraId="7B10AC09">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 xml:space="preserve">5包/批   </w:t>
            </w:r>
          </w:p>
        </w:tc>
      </w:tr>
      <w:tr w14:paraId="4DC7304D">
        <w:tblPrEx>
          <w:tblCellMar>
            <w:top w:w="0" w:type="dxa"/>
            <w:left w:w="108" w:type="dxa"/>
            <w:bottom w:w="0" w:type="dxa"/>
            <w:right w:w="108" w:type="dxa"/>
          </w:tblCellMar>
        </w:tblPrEx>
        <w:trPr>
          <w:wBefore w:w="0" w:type="dxa"/>
          <w:wAfter w:w="0" w:type="dxa"/>
          <w:trHeight w:val="349" w:hRule="atLeast"/>
        </w:trPr>
        <w:tc>
          <w:tcPr>
            <w:tcW w:w="1511" w:type="dxa"/>
            <w:tcBorders>
              <w:top w:val="nil"/>
              <w:left w:val="single" w:color="auto" w:sz="4" w:space="0"/>
              <w:bottom w:val="single" w:color="auto" w:sz="4" w:space="0"/>
              <w:right w:val="single" w:color="auto" w:sz="4" w:space="0"/>
            </w:tcBorders>
            <w:noWrap w:val="0"/>
            <w:vAlign w:val="center"/>
          </w:tcPr>
          <w:p w14:paraId="3DC31064">
            <w:pPr>
              <w:widowControl/>
              <w:spacing w:line="300" w:lineRule="exact"/>
              <w:jc w:val="center"/>
              <w:rPr>
                <w:rFonts w:ascii="黑体" w:hAnsi="宋体" w:eastAsia="黑体" w:cs="宋体"/>
                <w:b/>
                <w:color w:val="auto"/>
                <w:kern w:val="0"/>
                <w:sz w:val="18"/>
                <w:szCs w:val="18"/>
              </w:rPr>
            </w:pPr>
            <w:r>
              <w:rPr>
                <w:rFonts w:hint="eastAsia" w:ascii="黑体" w:hAnsi="宋体" w:eastAsia="黑体" w:cs="宋体"/>
                <w:b/>
                <w:color w:val="auto"/>
                <w:kern w:val="0"/>
                <w:sz w:val="18"/>
                <w:szCs w:val="18"/>
              </w:rPr>
              <w:t>5.试用</w:t>
            </w:r>
          </w:p>
        </w:tc>
        <w:tc>
          <w:tcPr>
            <w:tcW w:w="5629" w:type="dxa"/>
            <w:tcBorders>
              <w:top w:val="nil"/>
              <w:left w:val="nil"/>
              <w:bottom w:val="single" w:color="auto" w:sz="4" w:space="0"/>
              <w:right w:val="single" w:color="auto" w:sz="4" w:space="0"/>
            </w:tcBorders>
            <w:noWrap w:val="0"/>
            <w:vAlign w:val="center"/>
          </w:tcPr>
          <w:p w14:paraId="0DBFB6FF">
            <w:pPr>
              <w:widowControl/>
              <w:spacing w:line="300" w:lineRule="exact"/>
              <w:jc w:val="left"/>
              <w:rPr>
                <w:rFonts w:ascii="黑体" w:hAnsi="宋体" w:eastAsia="黑体" w:cs="宋体"/>
                <w:b/>
                <w:color w:val="FF0000"/>
                <w:kern w:val="0"/>
                <w:sz w:val="18"/>
                <w:szCs w:val="18"/>
              </w:rPr>
            </w:pPr>
            <w:r>
              <w:rPr>
                <w:rFonts w:hint="eastAsia" w:ascii="黑体" w:hAnsi="宋体" w:eastAsia="黑体" w:cs="宋体"/>
                <w:b/>
                <w:color w:val="FF0000"/>
                <w:kern w:val="0"/>
                <w:sz w:val="18"/>
                <w:szCs w:val="18"/>
              </w:rPr>
              <w:t>适用于高速拉丝机（运行线速≥350米/秒），添加比例</w:t>
            </w:r>
            <w:r>
              <w:rPr>
                <w:rFonts w:hint="eastAsia" w:ascii="黑体" w:hAnsi="宋体" w:eastAsia="黑体" w:cs="宋体"/>
                <w:b/>
                <w:color w:val="FF0000"/>
                <w:kern w:val="0"/>
                <w:sz w:val="18"/>
                <w:szCs w:val="18"/>
                <w:lang w:val="en-US" w:eastAsia="zh-CN"/>
              </w:rPr>
              <w:t>30</w:t>
            </w:r>
            <w:r>
              <w:rPr>
                <w:rFonts w:hint="eastAsia" w:ascii="黑体" w:hAnsi="宋体" w:eastAsia="黑体" w:cs="宋体"/>
                <w:b/>
                <w:color w:val="FF0000"/>
                <w:kern w:val="0"/>
                <w:sz w:val="18"/>
                <w:szCs w:val="18"/>
              </w:rPr>
              <w:t>%</w:t>
            </w:r>
            <w:r>
              <w:rPr>
                <w:rFonts w:hint="eastAsia" w:ascii="黑体" w:hAnsi="宋体" w:eastAsia="黑体" w:cs="宋体"/>
                <w:b/>
                <w:color w:val="FF0000"/>
                <w:kern w:val="0"/>
                <w:sz w:val="18"/>
                <w:szCs w:val="18"/>
              </w:rPr>
              <w:t>，线密度100tex,能够正常生产（不断丝，不带水，不裹丝）,单丝拉断力不低于32N。</w:t>
            </w:r>
          </w:p>
        </w:tc>
        <w:tc>
          <w:tcPr>
            <w:tcW w:w="962" w:type="dxa"/>
            <w:tcBorders>
              <w:top w:val="nil"/>
              <w:left w:val="nil"/>
              <w:bottom w:val="single" w:color="auto" w:sz="4" w:space="0"/>
              <w:right w:val="single" w:color="auto" w:sz="4" w:space="0"/>
            </w:tcBorders>
            <w:noWrap w:val="0"/>
            <w:vAlign w:val="center"/>
          </w:tcPr>
          <w:p w14:paraId="20BD3453">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随机取样</w:t>
            </w:r>
          </w:p>
        </w:tc>
        <w:tc>
          <w:tcPr>
            <w:tcW w:w="1098" w:type="dxa"/>
            <w:tcBorders>
              <w:top w:val="nil"/>
              <w:left w:val="nil"/>
              <w:bottom w:val="single" w:color="auto" w:sz="4" w:space="0"/>
              <w:right w:val="single" w:color="auto" w:sz="4" w:space="0"/>
            </w:tcBorders>
            <w:noWrap w:val="0"/>
            <w:vAlign w:val="center"/>
          </w:tcPr>
          <w:p w14:paraId="456144C9">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投料   试用</w:t>
            </w:r>
          </w:p>
        </w:tc>
        <w:tc>
          <w:tcPr>
            <w:tcW w:w="1511" w:type="dxa"/>
            <w:tcBorders>
              <w:top w:val="nil"/>
              <w:left w:val="nil"/>
              <w:bottom w:val="single" w:color="auto" w:sz="4" w:space="0"/>
              <w:right w:val="single" w:color="auto" w:sz="4" w:space="0"/>
            </w:tcBorders>
            <w:noWrap w:val="0"/>
            <w:vAlign w:val="center"/>
          </w:tcPr>
          <w:p w14:paraId="6286BC02">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5包/批</w:t>
            </w:r>
          </w:p>
        </w:tc>
      </w:tr>
      <w:tr w14:paraId="712D344D">
        <w:tblPrEx>
          <w:tblCellMar>
            <w:top w:w="0" w:type="dxa"/>
            <w:left w:w="108" w:type="dxa"/>
            <w:bottom w:w="0" w:type="dxa"/>
            <w:right w:w="108" w:type="dxa"/>
          </w:tblCellMar>
        </w:tblPrEx>
        <w:trPr>
          <w:wBefore w:w="0" w:type="dxa"/>
          <w:wAfter w:w="0" w:type="dxa"/>
          <w:trHeight w:val="363" w:hRule="atLeast"/>
        </w:trPr>
        <w:tc>
          <w:tcPr>
            <w:tcW w:w="1511" w:type="dxa"/>
            <w:vMerge w:val="restart"/>
            <w:tcBorders>
              <w:top w:val="nil"/>
              <w:left w:val="single" w:color="auto" w:sz="4" w:space="0"/>
              <w:bottom w:val="single" w:color="000000" w:sz="4" w:space="0"/>
              <w:right w:val="single" w:color="auto" w:sz="4" w:space="0"/>
            </w:tcBorders>
            <w:noWrap w:val="0"/>
            <w:vAlign w:val="center"/>
          </w:tcPr>
          <w:p w14:paraId="0DADEAC5">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6.其他 检测</w:t>
            </w:r>
          </w:p>
        </w:tc>
        <w:tc>
          <w:tcPr>
            <w:tcW w:w="5629" w:type="dxa"/>
            <w:tcBorders>
              <w:top w:val="nil"/>
              <w:left w:val="nil"/>
              <w:bottom w:val="single" w:color="auto" w:sz="4" w:space="0"/>
              <w:right w:val="single" w:color="auto" w:sz="4" w:space="0"/>
            </w:tcBorders>
            <w:noWrap w:val="0"/>
            <w:vAlign w:val="center"/>
          </w:tcPr>
          <w:p w14:paraId="1400E511">
            <w:pPr>
              <w:widowControl/>
              <w:spacing w:line="300" w:lineRule="exact"/>
              <w:jc w:val="left"/>
              <w:rPr>
                <w:rFonts w:ascii="黑体" w:hAnsi="宋体" w:eastAsia="黑体" w:cs="宋体"/>
                <w:b/>
                <w:kern w:val="0"/>
                <w:sz w:val="18"/>
                <w:szCs w:val="18"/>
              </w:rPr>
            </w:pPr>
            <w:r>
              <w:rPr>
                <w:rFonts w:hint="eastAsia" w:ascii="黑体" w:hAnsi="宋体" w:eastAsia="黑体" w:cs="宋体"/>
                <w:b/>
                <w:kern w:val="0"/>
                <w:sz w:val="18"/>
                <w:szCs w:val="18"/>
              </w:rPr>
              <w:t>做熔融指数分析，了解物料熔体流速是否与产品牌号性能相匹配。</w:t>
            </w:r>
          </w:p>
        </w:tc>
        <w:tc>
          <w:tcPr>
            <w:tcW w:w="962" w:type="dxa"/>
            <w:tcBorders>
              <w:top w:val="nil"/>
              <w:left w:val="nil"/>
              <w:bottom w:val="single" w:color="auto" w:sz="4" w:space="0"/>
              <w:right w:val="single" w:color="auto" w:sz="4" w:space="0"/>
            </w:tcBorders>
            <w:noWrap w:val="0"/>
            <w:vAlign w:val="center"/>
          </w:tcPr>
          <w:p w14:paraId="12B9AA76">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取样    (5-10)g</w:t>
            </w:r>
          </w:p>
        </w:tc>
        <w:tc>
          <w:tcPr>
            <w:tcW w:w="1098" w:type="dxa"/>
            <w:tcBorders>
              <w:top w:val="nil"/>
              <w:left w:val="nil"/>
              <w:bottom w:val="single" w:color="auto" w:sz="4" w:space="0"/>
              <w:right w:val="single" w:color="auto" w:sz="4" w:space="0"/>
            </w:tcBorders>
            <w:noWrap w:val="0"/>
            <w:vAlign w:val="center"/>
          </w:tcPr>
          <w:p w14:paraId="0242C218">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仪器测试</w:t>
            </w:r>
          </w:p>
        </w:tc>
        <w:tc>
          <w:tcPr>
            <w:tcW w:w="1511" w:type="dxa"/>
            <w:tcBorders>
              <w:top w:val="nil"/>
              <w:left w:val="nil"/>
              <w:bottom w:val="single" w:color="auto" w:sz="4" w:space="0"/>
              <w:right w:val="single" w:color="auto" w:sz="4" w:space="0"/>
            </w:tcBorders>
            <w:noWrap w:val="0"/>
            <w:vAlign w:val="center"/>
          </w:tcPr>
          <w:p w14:paraId="4B40D840">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（1-30）g/10min</w:t>
            </w:r>
          </w:p>
        </w:tc>
      </w:tr>
      <w:tr w14:paraId="11D60FB8">
        <w:tblPrEx>
          <w:tblCellMar>
            <w:top w:w="0" w:type="dxa"/>
            <w:left w:w="108" w:type="dxa"/>
            <w:bottom w:w="0" w:type="dxa"/>
            <w:right w:w="108" w:type="dxa"/>
          </w:tblCellMar>
        </w:tblPrEx>
        <w:trPr>
          <w:wBefore w:w="0" w:type="dxa"/>
          <w:wAfter w:w="0" w:type="dxa"/>
          <w:trHeight w:val="269" w:hRule="atLeast"/>
        </w:trPr>
        <w:tc>
          <w:tcPr>
            <w:tcW w:w="1511" w:type="dxa"/>
            <w:vMerge w:val="continue"/>
            <w:tcBorders>
              <w:top w:val="nil"/>
              <w:left w:val="single" w:color="auto" w:sz="4" w:space="0"/>
              <w:bottom w:val="single" w:color="000000" w:sz="4" w:space="0"/>
              <w:right w:val="single" w:color="auto" w:sz="4" w:space="0"/>
            </w:tcBorders>
            <w:noWrap w:val="0"/>
            <w:vAlign w:val="center"/>
          </w:tcPr>
          <w:p w14:paraId="20DD0A4E">
            <w:pPr>
              <w:widowControl/>
              <w:jc w:val="left"/>
              <w:rPr>
                <w:rFonts w:ascii="黑体" w:hAnsi="宋体" w:eastAsia="黑体" w:cs="宋体"/>
                <w:b/>
                <w:kern w:val="0"/>
                <w:sz w:val="18"/>
                <w:szCs w:val="18"/>
              </w:rPr>
            </w:pPr>
          </w:p>
        </w:tc>
        <w:tc>
          <w:tcPr>
            <w:tcW w:w="5629" w:type="dxa"/>
            <w:tcBorders>
              <w:top w:val="nil"/>
              <w:left w:val="nil"/>
              <w:bottom w:val="single" w:color="auto" w:sz="4" w:space="0"/>
              <w:right w:val="single" w:color="auto" w:sz="4" w:space="0"/>
            </w:tcBorders>
            <w:noWrap w:val="0"/>
            <w:vAlign w:val="center"/>
          </w:tcPr>
          <w:p w14:paraId="2D1D8DF4">
            <w:pPr>
              <w:widowControl/>
              <w:spacing w:line="300" w:lineRule="exact"/>
              <w:jc w:val="left"/>
              <w:rPr>
                <w:rFonts w:ascii="黑体" w:hAnsi="宋体" w:eastAsia="黑体" w:cs="宋体"/>
                <w:b/>
                <w:kern w:val="0"/>
                <w:sz w:val="18"/>
                <w:szCs w:val="18"/>
              </w:rPr>
            </w:pPr>
            <w:r>
              <w:rPr>
                <w:rFonts w:hint="eastAsia" w:ascii="黑体" w:hAnsi="宋体" w:eastAsia="黑体" w:cs="宋体"/>
                <w:b/>
                <w:kern w:val="0"/>
                <w:sz w:val="18"/>
                <w:szCs w:val="18"/>
              </w:rPr>
              <w:t>制品的强韧性、光亮度、透明度、颜色等</w:t>
            </w:r>
          </w:p>
        </w:tc>
        <w:tc>
          <w:tcPr>
            <w:tcW w:w="962" w:type="dxa"/>
            <w:tcBorders>
              <w:top w:val="nil"/>
              <w:left w:val="nil"/>
              <w:bottom w:val="single" w:color="auto" w:sz="4" w:space="0"/>
              <w:right w:val="single" w:color="auto" w:sz="4" w:space="0"/>
            </w:tcBorders>
            <w:noWrap w:val="0"/>
            <w:vAlign w:val="center"/>
          </w:tcPr>
          <w:p w14:paraId="0BC0EFFD">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量产前</w:t>
            </w:r>
          </w:p>
        </w:tc>
        <w:tc>
          <w:tcPr>
            <w:tcW w:w="1098" w:type="dxa"/>
            <w:tcBorders>
              <w:top w:val="nil"/>
              <w:left w:val="nil"/>
              <w:bottom w:val="single" w:color="auto" w:sz="4" w:space="0"/>
              <w:right w:val="single" w:color="auto" w:sz="4" w:space="0"/>
            </w:tcBorders>
            <w:noWrap w:val="0"/>
            <w:vAlign w:val="center"/>
          </w:tcPr>
          <w:p w14:paraId="4B99272D">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试料生产</w:t>
            </w:r>
          </w:p>
        </w:tc>
        <w:tc>
          <w:tcPr>
            <w:tcW w:w="1511" w:type="dxa"/>
            <w:tcBorders>
              <w:top w:val="nil"/>
              <w:left w:val="nil"/>
              <w:bottom w:val="single" w:color="auto" w:sz="4" w:space="0"/>
              <w:right w:val="single" w:color="auto" w:sz="4" w:space="0"/>
            </w:tcBorders>
            <w:noWrap w:val="0"/>
            <w:vAlign w:val="center"/>
          </w:tcPr>
          <w:p w14:paraId="24277FF3">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1-5包</w:t>
            </w:r>
          </w:p>
        </w:tc>
      </w:tr>
    </w:tbl>
    <w:p w14:paraId="25794BA4">
      <w:pPr>
        <w:spacing w:line="300" w:lineRule="exact"/>
        <w:rPr>
          <w:rFonts w:hint="eastAsia" w:ascii="黑体" w:eastAsia="黑体"/>
          <w:b/>
          <w:szCs w:val="21"/>
        </w:rPr>
      </w:pPr>
      <w:r>
        <w:rPr>
          <w:rFonts w:hint="eastAsia" w:ascii="黑体" w:eastAsia="黑体"/>
          <w:b/>
          <w:szCs w:val="21"/>
        </w:rPr>
        <w:t>4.1.2抽样标准</w:t>
      </w:r>
    </w:p>
    <w:p w14:paraId="5DBBBFEE">
      <w:pPr>
        <w:spacing w:line="300" w:lineRule="exact"/>
        <w:rPr>
          <w:rFonts w:hint="eastAsia" w:ascii="黑体" w:eastAsia="黑体"/>
          <w:b/>
          <w:szCs w:val="21"/>
        </w:rPr>
      </w:pPr>
      <w:r>
        <w:rPr>
          <w:rFonts w:hint="eastAsia" w:ascii="黑体" w:eastAsia="黑体"/>
          <w:b/>
          <w:szCs w:val="21"/>
        </w:rPr>
        <w:t>轻缺陷：当轻缺陷有不符合项时，单无重缺陷数，判为合格。</w:t>
      </w:r>
    </w:p>
    <w:p w14:paraId="324D23E5">
      <w:pPr>
        <w:spacing w:line="300" w:lineRule="exact"/>
        <w:rPr>
          <w:rFonts w:hint="eastAsia" w:ascii="黑体" w:eastAsia="黑体"/>
          <w:b/>
          <w:szCs w:val="21"/>
        </w:rPr>
      </w:pPr>
      <w:r>
        <w:rPr>
          <w:rFonts w:hint="eastAsia" w:ascii="黑体" w:eastAsia="黑体"/>
          <w:b/>
          <w:szCs w:val="21"/>
        </w:rPr>
        <w:t>重缺陷：一批次中，抽检只要有一项不合格时，该抽样为不合格。</w:t>
      </w:r>
    </w:p>
    <w:p w14:paraId="44B627EE">
      <w:pPr>
        <w:numPr>
          <w:ilvl w:val="0"/>
          <w:numId w:val="2"/>
        </w:numPr>
        <w:spacing w:line="300" w:lineRule="exact"/>
        <w:rPr>
          <w:rFonts w:hint="eastAsia" w:ascii="黑体" w:eastAsia="黑体"/>
          <w:b/>
          <w:szCs w:val="21"/>
        </w:rPr>
      </w:pPr>
      <w:r>
        <w:rPr>
          <w:rFonts w:hint="eastAsia" w:ascii="黑体" w:eastAsia="黑体"/>
          <w:b/>
          <w:szCs w:val="21"/>
        </w:rPr>
        <w:t>检验规范。</w:t>
      </w:r>
    </w:p>
    <w:p w14:paraId="44B3F821">
      <w:pPr>
        <w:spacing w:line="300" w:lineRule="exact"/>
        <w:rPr>
          <w:rFonts w:hint="eastAsia" w:ascii="黑体" w:eastAsia="黑体"/>
          <w:b/>
          <w:szCs w:val="21"/>
        </w:rPr>
      </w:pPr>
      <w:r>
        <w:rPr>
          <w:rFonts w:hint="eastAsia" w:ascii="黑体" w:eastAsia="黑体"/>
          <w:b/>
          <w:szCs w:val="21"/>
        </w:rPr>
        <w:t>5.1原材料的符合性</w:t>
      </w:r>
    </w:p>
    <w:p w14:paraId="646F6DD2">
      <w:pPr>
        <w:spacing w:line="300" w:lineRule="exact"/>
        <w:rPr>
          <w:rFonts w:hint="eastAsia" w:ascii="黑体" w:eastAsia="黑体"/>
          <w:b/>
          <w:szCs w:val="21"/>
        </w:rPr>
      </w:pPr>
      <w:r>
        <w:rPr>
          <w:rFonts w:hint="eastAsia" w:ascii="黑体" w:eastAsia="黑体"/>
          <w:b/>
          <w:szCs w:val="21"/>
        </w:rPr>
        <w:t>5.1.1检查原材料牌号（代号）、供应商名称、颜色代码等是否同要求一致，检查并记录原材料批号或生产日期。</w:t>
      </w:r>
    </w:p>
    <w:p w14:paraId="05685C72">
      <w:pPr>
        <w:spacing w:line="300" w:lineRule="exact"/>
        <w:rPr>
          <w:rFonts w:hint="eastAsia" w:ascii="黑体" w:eastAsia="黑体"/>
          <w:b/>
          <w:szCs w:val="21"/>
        </w:rPr>
      </w:pPr>
      <w:r>
        <w:rPr>
          <w:rFonts w:hint="eastAsia" w:ascii="黑体" w:eastAsia="黑体"/>
          <w:b/>
          <w:szCs w:val="21"/>
        </w:rPr>
        <w:t>5.2包装要求</w:t>
      </w:r>
    </w:p>
    <w:p w14:paraId="721D7E6F">
      <w:pPr>
        <w:spacing w:line="300" w:lineRule="exact"/>
        <w:rPr>
          <w:rFonts w:hint="eastAsia" w:ascii="黑体" w:eastAsia="黑体"/>
          <w:b/>
          <w:szCs w:val="21"/>
        </w:rPr>
      </w:pPr>
      <w:r>
        <w:rPr>
          <w:rFonts w:hint="eastAsia" w:ascii="黑体" w:eastAsia="黑体"/>
          <w:b/>
          <w:szCs w:val="21"/>
        </w:rPr>
        <w:t>5.2.1所有原材料的包装必须完好无损（常见缺陷有破损、水浸等）</w:t>
      </w:r>
    </w:p>
    <w:p w14:paraId="18A497DC">
      <w:pPr>
        <w:spacing w:line="300" w:lineRule="exact"/>
        <w:rPr>
          <w:rFonts w:hint="eastAsia" w:ascii="黑体" w:eastAsia="黑体"/>
          <w:b/>
          <w:szCs w:val="21"/>
        </w:rPr>
      </w:pPr>
      <w:r>
        <w:rPr>
          <w:rFonts w:hint="eastAsia" w:ascii="黑体" w:eastAsia="黑体"/>
          <w:b/>
          <w:szCs w:val="21"/>
        </w:rPr>
        <w:t>5.3原材料外观</w:t>
      </w:r>
    </w:p>
    <w:p w14:paraId="77AE4C08">
      <w:pPr>
        <w:spacing w:line="300" w:lineRule="exact"/>
        <w:rPr>
          <w:rFonts w:hint="eastAsia" w:ascii="黑体" w:eastAsia="黑体"/>
          <w:b/>
          <w:szCs w:val="21"/>
        </w:rPr>
      </w:pPr>
      <w:r>
        <w:rPr>
          <w:rFonts w:hint="eastAsia" w:ascii="黑体" w:eastAsia="黑体"/>
          <w:b/>
          <w:szCs w:val="21"/>
        </w:rPr>
        <w:t>5.3.1打开包装袋封口在光源充足处目视检查，原料中不能有肉眼可见的黑点，杂</w:t>
      </w:r>
      <w:r>
        <w:rPr>
          <w:rFonts w:hint="eastAsia" w:ascii="黑体" w:eastAsia="黑体"/>
          <w:b/>
          <w:szCs w:val="21"/>
          <w:lang w:val="en-US" w:eastAsia="zh-CN"/>
        </w:rPr>
        <w:t>质</w:t>
      </w:r>
      <w:r>
        <w:rPr>
          <w:rFonts w:hint="eastAsia" w:ascii="黑体" w:eastAsia="黑体"/>
          <w:b/>
          <w:szCs w:val="21"/>
        </w:rPr>
        <w:t>等；原料颗粒的大小，形状应基本一致（切片允许有少量不规则）。颜色同保留样品一致。</w:t>
      </w:r>
    </w:p>
    <w:p w14:paraId="140C0FBE">
      <w:pPr>
        <w:spacing w:line="300" w:lineRule="exact"/>
        <w:rPr>
          <w:rFonts w:hint="eastAsia" w:ascii="黑体" w:eastAsia="黑体"/>
          <w:b/>
          <w:szCs w:val="21"/>
        </w:rPr>
      </w:pPr>
      <w:r>
        <w:rPr>
          <w:rFonts w:hint="eastAsia" w:ascii="黑体" w:eastAsia="黑体"/>
          <w:b/>
          <w:szCs w:val="21"/>
        </w:rPr>
        <w:t>抽样方法</w:t>
      </w:r>
    </w:p>
    <w:p w14:paraId="45553006">
      <w:pPr>
        <w:spacing w:line="300" w:lineRule="exact"/>
        <w:rPr>
          <w:rFonts w:hint="eastAsia" w:ascii="黑体" w:eastAsia="黑体"/>
          <w:b/>
          <w:szCs w:val="21"/>
        </w:rPr>
      </w:pPr>
      <w:r>
        <w:rPr>
          <w:rFonts w:hint="eastAsia" w:ascii="黑体" w:eastAsia="黑体"/>
          <w:b/>
          <w:szCs w:val="21"/>
        </w:rPr>
        <w:t>5.4.1塑胶原料的检验以袋（25kg）为单位、色母以包为单位。</w:t>
      </w:r>
    </w:p>
    <w:p w14:paraId="6EB3EF21">
      <w:pPr>
        <w:autoSpaceDE w:val="0"/>
        <w:autoSpaceDN w:val="0"/>
        <w:rPr>
          <w:rFonts w:hint="eastAsia" w:ascii="宋体" w:hAnsi="宋体" w:cs="宋体"/>
          <w:b/>
          <w:bCs/>
        </w:rPr>
      </w:pPr>
    </w:p>
    <w:p w14:paraId="7BDFEDA8">
      <w:pPr>
        <w:autoSpaceDE w:val="0"/>
        <w:autoSpaceDN w:val="0"/>
        <w:rPr>
          <w:rFonts w:hint="eastAsia" w:ascii="宋体" w:hAnsi="宋体" w:cs="黑体"/>
          <w:b/>
          <w:sz w:val="30"/>
          <w:szCs w:val="30"/>
        </w:rPr>
      </w:pPr>
      <w:r>
        <w:rPr>
          <w:rFonts w:hint="eastAsia" w:ascii="宋体" w:hAnsi="宋体" w:cs="黑体"/>
          <w:b/>
          <w:sz w:val="30"/>
          <w:szCs w:val="30"/>
        </w:rPr>
        <w:t>附件2：</w:t>
      </w:r>
    </w:p>
    <w:p w14:paraId="24498647">
      <w:pPr>
        <w:autoSpaceDE w:val="0"/>
        <w:autoSpaceDN w:val="0"/>
        <w:ind w:firstLine="1807" w:firstLineChars="600"/>
        <w:rPr>
          <w:rFonts w:hint="eastAsia" w:ascii="宋体" w:hAnsi="宋体" w:eastAsia="宋体" w:cs="黑体"/>
          <w:b/>
          <w:sz w:val="30"/>
          <w:szCs w:val="30"/>
        </w:rPr>
      </w:pPr>
      <w:r>
        <w:rPr>
          <w:rFonts w:hint="eastAsia" w:ascii="宋体" w:hAnsi="宋体" w:eastAsia="宋体" w:cs="黑体"/>
          <w:b/>
          <w:sz w:val="30"/>
          <w:szCs w:val="30"/>
        </w:rPr>
        <w:t>泸州弘润资产经营有限公司纳溪塑料制品分公司</w:t>
      </w:r>
    </w:p>
    <w:p w14:paraId="14CF7947">
      <w:pPr>
        <w:autoSpaceDE w:val="0"/>
        <w:autoSpaceDN w:val="0"/>
        <w:ind w:firstLine="3765" w:firstLineChars="1250"/>
        <w:rPr>
          <w:rFonts w:hint="eastAsia" w:ascii="宋体" w:hAnsi="宋体" w:cs="黑体"/>
          <w:b/>
          <w:sz w:val="30"/>
          <w:szCs w:val="30"/>
        </w:rPr>
      </w:pPr>
      <w:r>
        <w:rPr>
          <w:rFonts w:hint="eastAsia" w:ascii="宋体" w:hAnsi="宋体" w:cs="黑体"/>
          <w:b/>
          <w:sz w:val="30"/>
          <w:szCs w:val="30"/>
        </w:rPr>
        <w:t>物资采购报价单</w:t>
      </w:r>
    </w:p>
    <w:p w14:paraId="5D012A6B">
      <w:pPr>
        <w:autoSpaceDE w:val="0"/>
        <w:autoSpaceDN w:val="0"/>
        <w:ind w:firstLine="3765" w:firstLineChars="1250"/>
        <w:rPr>
          <w:rFonts w:hint="eastAsia" w:ascii="宋体" w:hAnsi="宋体" w:cs="黑体"/>
          <w:b/>
          <w:sz w:val="30"/>
          <w:szCs w:val="30"/>
        </w:rPr>
      </w:pPr>
    </w:p>
    <w:tbl>
      <w:tblPr>
        <w:tblStyle w:val="20"/>
        <w:tblW w:w="9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
        <w:gridCol w:w="1315"/>
        <w:gridCol w:w="1387"/>
        <w:gridCol w:w="1029"/>
        <w:gridCol w:w="1287"/>
        <w:gridCol w:w="1286"/>
        <w:gridCol w:w="1415"/>
        <w:gridCol w:w="1496"/>
      </w:tblGrid>
      <w:tr w14:paraId="51DA8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9" w:hRule="atLeast"/>
          <w:jc w:val="center"/>
        </w:trPr>
        <w:tc>
          <w:tcPr>
            <w:tcW w:w="417" w:type="dxa"/>
            <w:tcBorders>
              <w:top w:val="single" w:color="auto" w:sz="4" w:space="0"/>
              <w:left w:val="single" w:color="auto" w:sz="4" w:space="0"/>
              <w:bottom w:val="single" w:color="auto" w:sz="4" w:space="0"/>
              <w:right w:val="single" w:color="auto" w:sz="4" w:space="0"/>
            </w:tcBorders>
            <w:noWrap w:val="0"/>
            <w:vAlign w:val="center"/>
          </w:tcPr>
          <w:p w14:paraId="5539EDC9">
            <w:pPr>
              <w:pStyle w:val="5"/>
              <w:tabs>
                <w:tab w:val="right" w:pos="9030"/>
              </w:tabs>
              <w:spacing w:line="240" w:lineRule="auto"/>
              <w:ind w:right="-31"/>
              <w:rPr>
                <w:sz w:val="24"/>
                <w:szCs w:val="24"/>
              </w:rPr>
            </w:pPr>
            <w:r>
              <w:rPr>
                <w:rFonts w:hint="eastAsia"/>
                <w:sz w:val="24"/>
                <w:szCs w:val="24"/>
              </w:rPr>
              <w:t>序号</w:t>
            </w:r>
          </w:p>
        </w:tc>
        <w:tc>
          <w:tcPr>
            <w:tcW w:w="1315" w:type="dxa"/>
            <w:tcBorders>
              <w:top w:val="single" w:color="auto" w:sz="4" w:space="0"/>
              <w:left w:val="single" w:color="auto" w:sz="4" w:space="0"/>
              <w:bottom w:val="single" w:color="auto" w:sz="4" w:space="0"/>
              <w:right w:val="single" w:color="auto" w:sz="4" w:space="0"/>
            </w:tcBorders>
            <w:noWrap w:val="0"/>
            <w:vAlign w:val="center"/>
          </w:tcPr>
          <w:p w14:paraId="21C9EA57">
            <w:pPr>
              <w:pStyle w:val="5"/>
              <w:tabs>
                <w:tab w:val="right" w:pos="9030"/>
              </w:tabs>
              <w:spacing w:line="240" w:lineRule="auto"/>
              <w:ind w:right="-31"/>
              <w:rPr>
                <w:sz w:val="24"/>
                <w:szCs w:val="24"/>
              </w:rPr>
            </w:pPr>
            <w:r>
              <w:rPr>
                <w:rFonts w:hint="eastAsia"/>
                <w:sz w:val="24"/>
                <w:szCs w:val="24"/>
              </w:rPr>
              <w:t>物资名称</w:t>
            </w:r>
          </w:p>
        </w:tc>
        <w:tc>
          <w:tcPr>
            <w:tcW w:w="1387" w:type="dxa"/>
            <w:tcBorders>
              <w:top w:val="single" w:color="auto" w:sz="4" w:space="0"/>
              <w:left w:val="single" w:color="auto" w:sz="4" w:space="0"/>
              <w:bottom w:val="single" w:color="auto" w:sz="4" w:space="0"/>
              <w:right w:val="single" w:color="auto" w:sz="4" w:space="0"/>
            </w:tcBorders>
            <w:noWrap w:val="0"/>
            <w:vAlign w:val="center"/>
          </w:tcPr>
          <w:p w14:paraId="09BD502E">
            <w:pPr>
              <w:pStyle w:val="5"/>
              <w:tabs>
                <w:tab w:val="right" w:pos="9030"/>
              </w:tabs>
              <w:spacing w:line="240" w:lineRule="auto"/>
              <w:ind w:right="-31"/>
              <w:rPr>
                <w:sz w:val="24"/>
                <w:szCs w:val="24"/>
              </w:rPr>
            </w:pPr>
            <w:r>
              <w:rPr>
                <w:rFonts w:hint="eastAsia"/>
                <w:sz w:val="24"/>
                <w:szCs w:val="24"/>
              </w:rPr>
              <w:t>规</w:t>
            </w:r>
            <w:r>
              <w:rPr>
                <w:sz w:val="24"/>
                <w:szCs w:val="24"/>
              </w:rPr>
              <w:t xml:space="preserve"> </w:t>
            </w:r>
            <w:r>
              <w:rPr>
                <w:rFonts w:hint="eastAsia"/>
                <w:sz w:val="24"/>
                <w:szCs w:val="24"/>
              </w:rPr>
              <w:t>格</w:t>
            </w:r>
          </w:p>
        </w:tc>
        <w:tc>
          <w:tcPr>
            <w:tcW w:w="1029" w:type="dxa"/>
            <w:tcBorders>
              <w:top w:val="single" w:color="auto" w:sz="4" w:space="0"/>
              <w:left w:val="single" w:color="auto" w:sz="4" w:space="0"/>
              <w:bottom w:val="single" w:color="auto" w:sz="4" w:space="0"/>
              <w:right w:val="single" w:color="auto" w:sz="4" w:space="0"/>
            </w:tcBorders>
            <w:noWrap w:val="0"/>
            <w:vAlign w:val="center"/>
          </w:tcPr>
          <w:p w14:paraId="1E37C98A">
            <w:pPr>
              <w:pStyle w:val="5"/>
              <w:tabs>
                <w:tab w:val="right" w:pos="9030"/>
              </w:tabs>
              <w:spacing w:line="240" w:lineRule="auto"/>
              <w:ind w:right="-31"/>
              <w:rPr>
                <w:sz w:val="24"/>
                <w:szCs w:val="24"/>
              </w:rPr>
            </w:pPr>
            <w:r>
              <w:rPr>
                <w:rFonts w:hint="eastAsia"/>
                <w:sz w:val="24"/>
                <w:szCs w:val="24"/>
              </w:rPr>
              <w:t>数量</w:t>
            </w:r>
            <w:r>
              <w:rPr>
                <w:sz w:val="24"/>
                <w:szCs w:val="24"/>
              </w:rPr>
              <w:t>(</w:t>
            </w:r>
            <w:r>
              <w:rPr>
                <w:rFonts w:hint="eastAsia"/>
                <w:sz w:val="24"/>
                <w:szCs w:val="24"/>
              </w:rPr>
              <w:t>吨）</w:t>
            </w:r>
          </w:p>
        </w:tc>
        <w:tc>
          <w:tcPr>
            <w:tcW w:w="1287" w:type="dxa"/>
            <w:tcBorders>
              <w:top w:val="single" w:color="auto" w:sz="4" w:space="0"/>
              <w:left w:val="single" w:color="auto" w:sz="4" w:space="0"/>
              <w:bottom w:val="single" w:color="auto" w:sz="4" w:space="0"/>
              <w:right w:val="single" w:color="auto" w:sz="4" w:space="0"/>
            </w:tcBorders>
            <w:noWrap w:val="0"/>
            <w:vAlign w:val="top"/>
          </w:tcPr>
          <w:p w14:paraId="34197BB0">
            <w:pPr>
              <w:pStyle w:val="5"/>
              <w:tabs>
                <w:tab w:val="right" w:pos="9030"/>
              </w:tabs>
              <w:spacing w:line="240" w:lineRule="auto"/>
              <w:ind w:right="-31"/>
              <w:rPr>
                <w:rFonts w:hint="eastAsia"/>
                <w:sz w:val="24"/>
                <w:szCs w:val="24"/>
              </w:rPr>
            </w:pPr>
            <w:r>
              <w:rPr>
                <w:rFonts w:hint="eastAsia"/>
                <w:sz w:val="24"/>
                <w:szCs w:val="24"/>
              </w:rPr>
              <w:t>现金采购报价</w:t>
            </w:r>
          </w:p>
          <w:p w14:paraId="22AE0877">
            <w:pPr>
              <w:pStyle w:val="5"/>
              <w:tabs>
                <w:tab w:val="right" w:pos="9030"/>
              </w:tabs>
              <w:spacing w:line="240" w:lineRule="auto"/>
              <w:ind w:right="-31"/>
              <w:rPr>
                <w:rFonts w:hint="eastAsia"/>
                <w:sz w:val="24"/>
                <w:szCs w:val="24"/>
              </w:rPr>
            </w:pPr>
            <w:r>
              <w:rPr>
                <w:rFonts w:hint="eastAsia"/>
                <w:sz w:val="24"/>
                <w:szCs w:val="24"/>
              </w:rPr>
              <w:t>（元/吨）</w:t>
            </w:r>
          </w:p>
        </w:tc>
        <w:tc>
          <w:tcPr>
            <w:tcW w:w="1286" w:type="dxa"/>
            <w:tcBorders>
              <w:top w:val="single" w:color="auto" w:sz="4" w:space="0"/>
              <w:left w:val="single" w:color="auto" w:sz="4" w:space="0"/>
              <w:bottom w:val="single" w:color="auto" w:sz="4" w:space="0"/>
              <w:right w:val="single" w:color="auto" w:sz="4" w:space="0"/>
            </w:tcBorders>
            <w:noWrap w:val="0"/>
            <w:vAlign w:val="center"/>
          </w:tcPr>
          <w:p w14:paraId="2EEE6244">
            <w:pPr>
              <w:pStyle w:val="5"/>
              <w:tabs>
                <w:tab w:val="right" w:pos="9030"/>
              </w:tabs>
              <w:spacing w:line="240" w:lineRule="auto"/>
              <w:ind w:right="-31"/>
              <w:rPr>
                <w:sz w:val="24"/>
                <w:szCs w:val="24"/>
              </w:rPr>
            </w:pPr>
            <w:r>
              <w:rPr>
                <w:rFonts w:hint="eastAsia"/>
                <w:sz w:val="24"/>
                <w:szCs w:val="24"/>
              </w:rPr>
              <w:t>送货时间</w:t>
            </w:r>
          </w:p>
        </w:tc>
        <w:tc>
          <w:tcPr>
            <w:tcW w:w="1415" w:type="dxa"/>
            <w:tcBorders>
              <w:top w:val="single" w:color="auto" w:sz="4" w:space="0"/>
              <w:left w:val="single" w:color="auto" w:sz="4" w:space="0"/>
              <w:bottom w:val="single" w:color="auto" w:sz="4" w:space="0"/>
              <w:right w:val="single" w:color="auto" w:sz="4" w:space="0"/>
            </w:tcBorders>
            <w:noWrap w:val="0"/>
            <w:vAlign w:val="center"/>
          </w:tcPr>
          <w:p w14:paraId="69B1BCFB">
            <w:pPr>
              <w:pStyle w:val="5"/>
              <w:tabs>
                <w:tab w:val="right" w:pos="9030"/>
              </w:tabs>
              <w:spacing w:line="240" w:lineRule="auto"/>
              <w:ind w:right="-31" w:firstLine="240" w:firstLineChars="100"/>
              <w:jc w:val="both"/>
              <w:rPr>
                <w:sz w:val="24"/>
                <w:szCs w:val="24"/>
              </w:rPr>
            </w:pPr>
            <w:r>
              <w:rPr>
                <w:rFonts w:hint="eastAsia"/>
                <w:sz w:val="24"/>
                <w:szCs w:val="24"/>
              </w:rPr>
              <w:t>支付方式</w:t>
            </w:r>
          </w:p>
        </w:tc>
        <w:tc>
          <w:tcPr>
            <w:tcW w:w="1496" w:type="dxa"/>
            <w:tcBorders>
              <w:top w:val="single" w:color="auto" w:sz="4" w:space="0"/>
              <w:left w:val="single" w:color="auto" w:sz="4" w:space="0"/>
              <w:bottom w:val="single" w:color="auto" w:sz="4" w:space="0"/>
              <w:right w:val="single" w:color="auto" w:sz="4" w:space="0"/>
            </w:tcBorders>
            <w:noWrap w:val="0"/>
            <w:vAlign w:val="center"/>
          </w:tcPr>
          <w:p w14:paraId="5ED94006">
            <w:pPr>
              <w:pStyle w:val="5"/>
              <w:tabs>
                <w:tab w:val="right" w:pos="9030"/>
              </w:tabs>
              <w:spacing w:line="240" w:lineRule="auto"/>
              <w:ind w:right="-31"/>
              <w:rPr>
                <w:sz w:val="24"/>
                <w:szCs w:val="24"/>
              </w:rPr>
            </w:pPr>
            <w:r>
              <w:rPr>
                <w:rFonts w:hint="eastAsia"/>
                <w:sz w:val="24"/>
                <w:szCs w:val="24"/>
              </w:rPr>
              <w:t>备注</w:t>
            </w:r>
          </w:p>
        </w:tc>
      </w:tr>
      <w:tr w14:paraId="4CA5E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44" w:hRule="atLeast"/>
          <w:jc w:val="center"/>
        </w:trPr>
        <w:tc>
          <w:tcPr>
            <w:tcW w:w="417" w:type="dxa"/>
            <w:tcBorders>
              <w:top w:val="single" w:color="auto" w:sz="4" w:space="0"/>
              <w:left w:val="single" w:color="auto" w:sz="4" w:space="0"/>
              <w:bottom w:val="single" w:color="auto" w:sz="4" w:space="0"/>
              <w:right w:val="single" w:color="auto" w:sz="4" w:space="0"/>
            </w:tcBorders>
            <w:noWrap w:val="0"/>
            <w:vAlign w:val="center"/>
          </w:tcPr>
          <w:p w14:paraId="12D3DB4B">
            <w:pPr>
              <w:pStyle w:val="5"/>
              <w:tabs>
                <w:tab w:val="right" w:pos="9030"/>
              </w:tabs>
              <w:spacing w:line="240" w:lineRule="auto"/>
              <w:ind w:right="-31"/>
              <w:rPr>
                <w:sz w:val="24"/>
                <w:szCs w:val="24"/>
              </w:rPr>
            </w:pPr>
            <w:r>
              <w:rPr>
                <w:sz w:val="24"/>
                <w:szCs w:val="24"/>
              </w:rPr>
              <w:t>1</w:t>
            </w:r>
          </w:p>
        </w:tc>
        <w:tc>
          <w:tcPr>
            <w:tcW w:w="1315" w:type="dxa"/>
            <w:tcBorders>
              <w:top w:val="single" w:color="auto" w:sz="4" w:space="0"/>
              <w:left w:val="single" w:color="auto" w:sz="4" w:space="0"/>
              <w:bottom w:val="single" w:color="auto" w:sz="4" w:space="0"/>
              <w:right w:val="single" w:color="auto" w:sz="4" w:space="0"/>
            </w:tcBorders>
            <w:noWrap w:val="0"/>
            <w:vAlign w:val="center"/>
          </w:tcPr>
          <w:p w14:paraId="67DDED63">
            <w:pPr>
              <w:pStyle w:val="5"/>
              <w:tabs>
                <w:tab w:val="right" w:pos="9030"/>
              </w:tabs>
              <w:spacing w:line="240" w:lineRule="auto"/>
              <w:ind w:right="-31"/>
              <w:rPr>
                <w:sz w:val="24"/>
                <w:szCs w:val="24"/>
              </w:rPr>
            </w:pPr>
            <w:r>
              <w:rPr>
                <w:rFonts w:hint="eastAsia"/>
                <w:sz w:val="24"/>
                <w:szCs w:val="24"/>
              </w:rPr>
              <w:t>聚丙烯母料（APP）</w:t>
            </w:r>
          </w:p>
        </w:tc>
        <w:tc>
          <w:tcPr>
            <w:tcW w:w="1387" w:type="dxa"/>
            <w:tcBorders>
              <w:top w:val="single" w:color="auto" w:sz="4" w:space="0"/>
              <w:left w:val="single" w:color="auto" w:sz="4" w:space="0"/>
              <w:right w:val="single" w:color="auto" w:sz="4" w:space="0"/>
            </w:tcBorders>
            <w:noWrap w:val="0"/>
            <w:vAlign w:val="center"/>
          </w:tcPr>
          <w:p w14:paraId="5564F4A0">
            <w:pPr>
              <w:pStyle w:val="5"/>
              <w:tabs>
                <w:tab w:val="right" w:pos="9030"/>
              </w:tabs>
              <w:spacing w:line="240" w:lineRule="auto"/>
              <w:ind w:right="0"/>
              <w:rPr>
                <w:sz w:val="24"/>
                <w:szCs w:val="24"/>
              </w:rPr>
            </w:pPr>
            <w:r>
              <w:rPr>
                <w:rFonts w:hint="eastAsia" w:ascii="Times New Roman" w:hAnsi="Times New Roman" w:eastAsia="宋体" w:cs="Times New Roman"/>
                <w:sz w:val="24"/>
                <w:szCs w:val="24"/>
                <w:lang w:val="en-US" w:eastAsia="zh-CN"/>
              </w:rPr>
              <w:t>25kg/袋</w:t>
            </w:r>
          </w:p>
        </w:tc>
        <w:tc>
          <w:tcPr>
            <w:tcW w:w="1029" w:type="dxa"/>
            <w:tcBorders>
              <w:top w:val="single" w:color="auto" w:sz="4" w:space="0"/>
              <w:left w:val="single" w:color="auto" w:sz="4" w:space="0"/>
              <w:right w:val="single" w:color="auto" w:sz="4" w:space="0"/>
            </w:tcBorders>
            <w:noWrap w:val="0"/>
            <w:vAlign w:val="center"/>
          </w:tcPr>
          <w:p w14:paraId="2892EB70">
            <w:pPr>
              <w:pStyle w:val="5"/>
              <w:tabs>
                <w:tab w:val="right" w:pos="9030"/>
              </w:tabs>
              <w:spacing w:line="240" w:lineRule="auto"/>
              <w:ind w:right="0"/>
              <w:rPr>
                <w:rFonts w:hint="default" w:eastAsia="宋体"/>
                <w:sz w:val="24"/>
                <w:szCs w:val="24"/>
                <w:lang w:val="en-US" w:eastAsia="zh-CN"/>
              </w:rPr>
            </w:pPr>
            <w:r>
              <w:rPr>
                <w:rFonts w:hint="eastAsia"/>
                <w:sz w:val="24"/>
                <w:szCs w:val="24"/>
                <w:lang w:val="en-US" w:eastAsia="zh-CN"/>
              </w:rPr>
              <w:t>10</w:t>
            </w:r>
          </w:p>
        </w:tc>
        <w:tc>
          <w:tcPr>
            <w:tcW w:w="1287" w:type="dxa"/>
            <w:tcBorders>
              <w:top w:val="single" w:color="auto" w:sz="4" w:space="0"/>
              <w:left w:val="single" w:color="auto" w:sz="4" w:space="0"/>
              <w:right w:val="single" w:color="auto" w:sz="4" w:space="0"/>
            </w:tcBorders>
            <w:noWrap w:val="0"/>
            <w:vAlign w:val="top"/>
          </w:tcPr>
          <w:p w14:paraId="0CE62753">
            <w:pPr>
              <w:pStyle w:val="5"/>
              <w:tabs>
                <w:tab w:val="right" w:pos="9030"/>
              </w:tabs>
              <w:spacing w:line="240" w:lineRule="auto"/>
              <w:ind w:right="-31"/>
              <w:rPr>
                <w:rFonts w:hint="eastAsia"/>
                <w:sz w:val="24"/>
                <w:szCs w:val="24"/>
              </w:rPr>
            </w:pPr>
          </w:p>
        </w:tc>
        <w:tc>
          <w:tcPr>
            <w:tcW w:w="1286" w:type="dxa"/>
            <w:tcBorders>
              <w:top w:val="single" w:color="auto" w:sz="4" w:space="0"/>
              <w:left w:val="single" w:color="auto" w:sz="4" w:space="0"/>
              <w:right w:val="single" w:color="auto" w:sz="4" w:space="0"/>
            </w:tcBorders>
            <w:noWrap w:val="0"/>
            <w:vAlign w:val="center"/>
          </w:tcPr>
          <w:p w14:paraId="357EC3C5">
            <w:pPr>
              <w:pStyle w:val="5"/>
              <w:tabs>
                <w:tab w:val="right" w:pos="9030"/>
              </w:tabs>
              <w:spacing w:line="240" w:lineRule="auto"/>
              <w:ind w:right="-31"/>
              <w:rPr>
                <w:sz w:val="24"/>
                <w:szCs w:val="24"/>
              </w:rPr>
            </w:pPr>
            <w:r>
              <w:rPr>
                <w:rFonts w:hint="eastAsia"/>
                <w:sz w:val="24"/>
                <w:szCs w:val="24"/>
              </w:rPr>
              <w:t>202</w:t>
            </w:r>
            <w:r>
              <w:rPr>
                <w:rFonts w:hint="eastAsia"/>
                <w:sz w:val="24"/>
                <w:szCs w:val="24"/>
                <w:lang w:val="en-US" w:eastAsia="zh-CN"/>
              </w:rPr>
              <w:t>6</w:t>
            </w:r>
            <w:r>
              <w:rPr>
                <w:rFonts w:hint="eastAsia"/>
                <w:sz w:val="24"/>
                <w:szCs w:val="24"/>
              </w:rPr>
              <w:t>年</w:t>
            </w:r>
            <w:r>
              <w:rPr>
                <w:rFonts w:hint="eastAsia"/>
                <w:sz w:val="24"/>
                <w:szCs w:val="24"/>
                <w:lang w:val="en-US" w:eastAsia="zh-CN"/>
              </w:rPr>
              <w:t>5</w:t>
            </w:r>
            <w:r>
              <w:rPr>
                <w:rFonts w:hint="eastAsia"/>
                <w:sz w:val="24"/>
                <w:szCs w:val="24"/>
              </w:rPr>
              <w:t>月</w:t>
            </w:r>
            <w:r>
              <w:rPr>
                <w:rFonts w:hint="eastAsia"/>
                <w:sz w:val="24"/>
                <w:szCs w:val="24"/>
                <w:lang w:val="en-US" w:eastAsia="zh-CN"/>
              </w:rPr>
              <w:t>8</w:t>
            </w:r>
            <w:r>
              <w:rPr>
                <w:rFonts w:hint="eastAsia"/>
                <w:sz w:val="24"/>
                <w:szCs w:val="24"/>
              </w:rPr>
              <w:t>日</w:t>
            </w:r>
            <w:r>
              <w:rPr>
                <w:rFonts w:hint="eastAsia"/>
                <w:sz w:val="24"/>
                <w:szCs w:val="24"/>
                <w:lang w:val="en-US" w:eastAsia="zh-CN"/>
              </w:rPr>
              <w:t>前</w:t>
            </w:r>
            <w:r>
              <w:rPr>
                <w:rFonts w:hint="eastAsia"/>
                <w:sz w:val="24"/>
                <w:szCs w:val="24"/>
              </w:rPr>
              <w:t>送货完成。</w:t>
            </w:r>
          </w:p>
        </w:tc>
        <w:tc>
          <w:tcPr>
            <w:tcW w:w="1415" w:type="dxa"/>
            <w:tcBorders>
              <w:top w:val="single" w:color="auto" w:sz="4" w:space="0"/>
              <w:left w:val="single" w:color="auto" w:sz="4" w:space="0"/>
              <w:bottom w:val="single" w:color="auto" w:sz="4" w:space="0"/>
              <w:right w:val="single" w:color="auto" w:sz="4" w:space="0"/>
            </w:tcBorders>
            <w:noWrap w:val="0"/>
            <w:vAlign w:val="center"/>
          </w:tcPr>
          <w:p w14:paraId="2FB50AAC">
            <w:pPr>
              <w:pStyle w:val="5"/>
              <w:tabs>
                <w:tab w:val="right" w:pos="9030"/>
              </w:tabs>
              <w:spacing w:line="240" w:lineRule="auto"/>
              <w:ind w:right="-31"/>
              <w:rPr>
                <w:sz w:val="24"/>
                <w:szCs w:val="24"/>
              </w:rPr>
            </w:pPr>
            <w:r>
              <w:rPr>
                <w:rFonts w:hint="eastAsia"/>
                <w:sz w:val="24"/>
                <w:szCs w:val="24"/>
              </w:rPr>
              <w:t>货到验收合格，且票到后</w:t>
            </w:r>
            <w:r>
              <w:rPr>
                <w:rFonts w:hint="eastAsia"/>
                <w:sz w:val="24"/>
                <w:szCs w:val="24"/>
                <w:lang w:val="en-US" w:eastAsia="zh-CN"/>
              </w:rPr>
              <w:t>30</w:t>
            </w:r>
            <w:r>
              <w:rPr>
                <w:rFonts w:hint="eastAsia"/>
                <w:sz w:val="24"/>
                <w:szCs w:val="24"/>
              </w:rPr>
              <w:t>日内以现金支付</w:t>
            </w:r>
          </w:p>
        </w:tc>
        <w:tc>
          <w:tcPr>
            <w:tcW w:w="1496" w:type="dxa"/>
            <w:tcBorders>
              <w:top w:val="single" w:color="auto" w:sz="4" w:space="0"/>
              <w:left w:val="single" w:color="auto" w:sz="4" w:space="0"/>
              <w:right w:val="single" w:color="auto" w:sz="4" w:space="0"/>
            </w:tcBorders>
            <w:noWrap w:val="0"/>
            <w:vAlign w:val="center"/>
          </w:tcPr>
          <w:p w14:paraId="29CF5ADC">
            <w:pPr>
              <w:pStyle w:val="5"/>
              <w:tabs>
                <w:tab w:val="right" w:pos="9030"/>
              </w:tabs>
              <w:spacing w:line="240" w:lineRule="auto"/>
              <w:ind w:right="-31"/>
              <w:rPr>
                <w:sz w:val="24"/>
                <w:szCs w:val="24"/>
              </w:rPr>
            </w:pPr>
          </w:p>
        </w:tc>
      </w:tr>
      <w:tr w14:paraId="2DCDB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42" w:hRule="atLeast"/>
          <w:jc w:val="center"/>
        </w:trPr>
        <w:tc>
          <w:tcPr>
            <w:tcW w:w="417" w:type="dxa"/>
            <w:noWrap w:val="0"/>
            <w:vAlign w:val="top"/>
          </w:tcPr>
          <w:p w14:paraId="1BFC1701">
            <w:pPr>
              <w:pStyle w:val="18"/>
              <w:adjustRightInd w:val="0"/>
              <w:snapToGrid w:val="0"/>
              <w:spacing w:before="60" w:beforeLines="25" w:line="300" w:lineRule="auto"/>
              <w:rPr>
                <w:rFonts w:hint="eastAsia"/>
                <w:sz w:val="24"/>
                <w:szCs w:val="24"/>
              </w:rPr>
            </w:pPr>
          </w:p>
        </w:tc>
        <w:tc>
          <w:tcPr>
            <w:tcW w:w="9214" w:type="dxa"/>
            <w:gridSpan w:val="7"/>
            <w:noWrap w:val="0"/>
            <w:vAlign w:val="top"/>
          </w:tcPr>
          <w:p w14:paraId="57E29C45">
            <w:pPr>
              <w:rPr>
                <w:rFonts w:ascii="黑体" w:hAnsi="黑体" w:eastAsia="黑体"/>
                <w:b/>
                <w:sz w:val="24"/>
                <w:szCs w:val="24"/>
              </w:rPr>
            </w:pPr>
            <w:r>
              <w:rPr>
                <w:rFonts w:hint="eastAsia"/>
                <w:sz w:val="24"/>
                <w:szCs w:val="24"/>
              </w:rPr>
              <w:t>送达地点：</w:t>
            </w:r>
            <w:r>
              <w:rPr>
                <w:rFonts w:hint="eastAsia" w:ascii="宋体" w:hAnsi="宋体"/>
                <w:sz w:val="24"/>
                <w:szCs w:val="24"/>
              </w:rPr>
              <w:t>泸州弘润资产经营有限公司纳溪塑料制品分公司</w:t>
            </w:r>
            <w:r>
              <w:rPr>
                <w:rFonts w:hint="eastAsia"/>
                <w:sz w:val="24"/>
                <w:szCs w:val="24"/>
              </w:rPr>
              <w:t>厂房。</w:t>
            </w:r>
          </w:p>
        </w:tc>
      </w:tr>
    </w:tbl>
    <w:p w14:paraId="1D93FB34">
      <w:pPr>
        <w:rPr>
          <w:rFonts w:hint="eastAsia" w:ascii="宋体" w:hAnsi="宋体"/>
          <w:sz w:val="30"/>
          <w:szCs w:val="30"/>
        </w:rPr>
      </w:pPr>
    </w:p>
    <w:p w14:paraId="05E93AAC">
      <w:pPr>
        <w:rPr>
          <w:rFonts w:hint="eastAsia" w:ascii="宋体" w:hAnsi="宋体"/>
          <w:sz w:val="30"/>
          <w:szCs w:val="30"/>
        </w:rPr>
      </w:pPr>
    </w:p>
    <w:p w14:paraId="26FB9910">
      <w:pPr>
        <w:pStyle w:val="18"/>
        <w:adjustRightInd w:val="0"/>
        <w:snapToGrid w:val="0"/>
        <w:spacing w:before="60" w:beforeLines="25" w:line="300" w:lineRule="auto"/>
        <w:rPr>
          <w:rFonts w:hint="eastAsia" w:ascii="黑体" w:hAnsi="黑体" w:eastAsia="黑体"/>
          <w:b/>
          <w:sz w:val="24"/>
          <w:szCs w:val="24"/>
        </w:rPr>
      </w:pPr>
    </w:p>
    <w:p w14:paraId="16E9675C">
      <w:pPr>
        <w:pStyle w:val="18"/>
        <w:adjustRightInd w:val="0"/>
        <w:snapToGrid w:val="0"/>
        <w:spacing w:before="60" w:beforeLines="25" w:line="300" w:lineRule="auto"/>
        <w:rPr>
          <w:rFonts w:hint="eastAsia" w:ascii="黑体" w:hAnsi="黑体" w:eastAsia="黑体"/>
          <w:b/>
          <w:sz w:val="24"/>
          <w:szCs w:val="24"/>
        </w:rPr>
      </w:pPr>
    </w:p>
    <w:p w14:paraId="16C5A9D7">
      <w:pPr>
        <w:pStyle w:val="18"/>
        <w:adjustRightInd w:val="0"/>
        <w:snapToGrid w:val="0"/>
        <w:spacing w:before="60" w:beforeLines="25" w:line="300" w:lineRule="auto"/>
        <w:rPr>
          <w:rFonts w:hint="eastAsia" w:ascii="黑体" w:hAnsi="黑体" w:eastAsia="黑体"/>
          <w:b w:val="0"/>
          <w:bCs/>
          <w:sz w:val="24"/>
          <w:szCs w:val="24"/>
        </w:rPr>
      </w:pPr>
      <w:r>
        <w:rPr>
          <w:rFonts w:hint="eastAsia" w:ascii="黑体" w:hAnsi="黑体" w:eastAsia="黑体"/>
          <w:b w:val="0"/>
          <w:bCs/>
          <w:sz w:val="24"/>
          <w:szCs w:val="24"/>
        </w:rPr>
        <w:t>报价须知：</w:t>
      </w:r>
    </w:p>
    <w:p w14:paraId="4DC99ECD">
      <w:pPr>
        <w:pStyle w:val="18"/>
        <w:adjustRightInd w:val="0"/>
        <w:snapToGrid w:val="0"/>
        <w:spacing w:before="60" w:beforeLines="25" w:line="300" w:lineRule="auto"/>
        <w:rPr>
          <w:rFonts w:hint="eastAsia" w:ascii="黑体" w:hAnsi="黑体" w:eastAsia="黑体"/>
          <w:b w:val="0"/>
          <w:bCs/>
          <w:color w:val="auto"/>
          <w:sz w:val="24"/>
          <w:szCs w:val="24"/>
        </w:rPr>
      </w:pPr>
      <w:r>
        <w:rPr>
          <w:rFonts w:hint="eastAsia" w:ascii="黑体" w:hAnsi="黑体" w:eastAsia="黑体"/>
          <w:b w:val="0"/>
          <w:bCs/>
          <w:sz w:val="24"/>
          <w:szCs w:val="24"/>
          <w:lang w:val="en-US" w:eastAsia="zh-CN"/>
        </w:rPr>
        <w:t>1</w:t>
      </w:r>
      <w:r>
        <w:rPr>
          <w:rFonts w:hint="eastAsia" w:ascii="黑体" w:hAnsi="黑体" w:eastAsia="黑体"/>
          <w:b w:val="0"/>
          <w:bCs/>
          <w:color w:val="auto"/>
          <w:sz w:val="24"/>
          <w:szCs w:val="24"/>
          <w:lang w:val="en-US" w:eastAsia="zh-CN"/>
        </w:rPr>
        <w:t>、</w:t>
      </w:r>
      <w:r>
        <w:rPr>
          <w:rFonts w:hint="eastAsia" w:ascii="黑体" w:hAnsi="黑体" w:eastAsia="黑体"/>
          <w:b w:val="0"/>
          <w:bCs/>
          <w:color w:val="auto"/>
          <w:sz w:val="24"/>
          <w:szCs w:val="24"/>
        </w:rPr>
        <w:t>供应商所提供</w:t>
      </w:r>
      <w:r>
        <w:rPr>
          <w:rFonts w:hint="eastAsia" w:ascii="黑体" w:hAnsi="黑体" w:eastAsia="黑体"/>
          <w:b w:val="0"/>
          <w:bCs/>
          <w:color w:val="auto"/>
          <w:sz w:val="24"/>
          <w:szCs w:val="24"/>
          <w:lang w:val="en-US" w:eastAsia="zh-CN"/>
        </w:rPr>
        <w:t>原料需试用合格后方可报价，否则视为无效报价</w:t>
      </w:r>
      <w:r>
        <w:rPr>
          <w:rFonts w:hint="eastAsia" w:ascii="黑体" w:hAnsi="黑体" w:eastAsia="黑体"/>
          <w:b w:val="0"/>
          <w:bCs/>
          <w:color w:val="auto"/>
          <w:sz w:val="24"/>
          <w:szCs w:val="24"/>
        </w:rPr>
        <w:t>；</w:t>
      </w:r>
    </w:p>
    <w:p w14:paraId="4064CAE2">
      <w:pPr>
        <w:pStyle w:val="18"/>
        <w:adjustRightInd w:val="0"/>
        <w:snapToGrid w:val="0"/>
        <w:spacing w:before="60" w:beforeLines="25" w:line="300" w:lineRule="auto"/>
        <w:rPr>
          <w:rFonts w:ascii="黑体" w:hAnsi="黑体" w:eastAsia="黑体"/>
          <w:b w:val="0"/>
          <w:bCs/>
          <w:sz w:val="24"/>
          <w:szCs w:val="24"/>
        </w:rPr>
      </w:pPr>
      <w:r>
        <w:rPr>
          <w:rFonts w:hint="eastAsia" w:ascii="黑体" w:hAnsi="黑体" w:eastAsia="黑体"/>
          <w:b w:val="0"/>
          <w:bCs/>
          <w:sz w:val="24"/>
          <w:szCs w:val="24"/>
          <w:lang w:val="en-US" w:eastAsia="zh-CN"/>
        </w:rPr>
        <w:t>2</w:t>
      </w:r>
      <w:r>
        <w:rPr>
          <w:rFonts w:hint="eastAsia" w:ascii="黑体" w:hAnsi="黑体" w:eastAsia="黑体"/>
          <w:b w:val="0"/>
          <w:bCs/>
          <w:sz w:val="24"/>
          <w:szCs w:val="24"/>
        </w:rPr>
        <w:t>、供应商必须提供原料生产厂家该批号产品的质量检验合格证复印件；</w:t>
      </w:r>
    </w:p>
    <w:p w14:paraId="513695FD">
      <w:pPr>
        <w:pStyle w:val="18"/>
        <w:adjustRightInd w:val="0"/>
        <w:snapToGrid w:val="0"/>
        <w:spacing w:before="60" w:beforeLines="25" w:line="300" w:lineRule="auto"/>
        <w:rPr>
          <w:rFonts w:hint="eastAsia" w:ascii="黑体" w:hAnsi="黑体" w:eastAsia="黑体"/>
          <w:b w:val="0"/>
          <w:bCs/>
          <w:sz w:val="24"/>
          <w:szCs w:val="24"/>
        </w:rPr>
      </w:pPr>
      <w:r>
        <w:rPr>
          <w:rFonts w:hint="eastAsia" w:ascii="黑体" w:hAnsi="黑体" w:eastAsia="黑体"/>
          <w:b w:val="0"/>
          <w:bCs/>
          <w:sz w:val="24"/>
          <w:szCs w:val="24"/>
          <w:lang w:val="en-US" w:eastAsia="zh-CN"/>
        </w:rPr>
        <w:t>3</w:t>
      </w:r>
      <w:r>
        <w:rPr>
          <w:rFonts w:hint="eastAsia" w:ascii="黑体" w:hAnsi="黑体" w:eastAsia="黑体"/>
          <w:b w:val="0"/>
          <w:bCs/>
          <w:sz w:val="24"/>
          <w:szCs w:val="24"/>
        </w:rPr>
        <w:t>、供应商所提供原料必须符合附件1技术标准，并与送交试用样品质量一致；</w:t>
      </w:r>
    </w:p>
    <w:p w14:paraId="73F4EE3B">
      <w:pPr>
        <w:pStyle w:val="18"/>
        <w:adjustRightInd w:val="0"/>
        <w:snapToGrid w:val="0"/>
        <w:spacing w:before="60" w:beforeLines="25" w:line="300" w:lineRule="auto"/>
        <w:rPr>
          <w:rFonts w:hint="eastAsia" w:ascii="黑体" w:hAnsi="黑体" w:eastAsia="黑体"/>
          <w:b w:val="0"/>
          <w:bCs/>
          <w:sz w:val="24"/>
          <w:szCs w:val="24"/>
        </w:rPr>
      </w:pPr>
      <w:r>
        <w:rPr>
          <w:rFonts w:hint="eastAsia" w:ascii="黑体" w:hAnsi="黑体" w:eastAsia="黑体"/>
          <w:b w:val="0"/>
          <w:bCs/>
          <w:sz w:val="24"/>
          <w:szCs w:val="24"/>
          <w:lang w:val="en-US" w:eastAsia="zh-CN"/>
        </w:rPr>
        <w:t>4</w:t>
      </w:r>
      <w:r>
        <w:rPr>
          <w:rFonts w:hint="eastAsia" w:ascii="黑体" w:hAnsi="黑体" w:eastAsia="黑体"/>
          <w:b w:val="0"/>
          <w:bCs/>
          <w:sz w:val="24"/>
          <w:szCs w:val="24"/>
        </w:rPr>
        <w:t>、原料送达后，我公司将进行抽检并进行上机投料测试，测试不合格的产品我公司有权拒收，因退换货等原因产生的相关费用，由供方单位自行承担。</w:t>
      </w:r>
    </w:p>
    <w:p w14:paraId="3D45E70A">
      <w:pPr>
        <w:pStyle w:val="18"/>
        <w:adjustRightInd w:val="0"/>
        <w:snapToGrid w:val="0"/>
        <w:spacing w:before="60" w:beforeLines="25" w:line="300" w:lineRule="auto"/>
        <w:rPr>
          <w:rFonts w:ascii="黑体" w:hAnsi="黑体" w:eastAsia="黑体"/>
          <w:b w:val="0"/>
          <w:bCs/>
          <w:sz w:val="24"/>
          <w:szCs w:val="24"/>
        </w:rPr>
      </w:pPr>
      <w:r>
        <w:rPr>
          <w:rFonts w:hint="eastAsia" w:ascii="黑体" w:hAnsi="黑体" w:eastAsia="黑体"/>
          <w:b w:val="0"/>
          <w:bCs/>
          <w:sz w:val="24"/>
          <w:szCs w:val="24"/>
          <w:lang w:val="en-US" w:eastAsia="zh-CN"/>
        </w:rPr>
        <w:t>5</w:t>
      </w:r>
      <w:r>
        <w:rPr>
          <w:rFonts w:hint="eastAsia" w:ascii="黑体" w:hAnsi="黑体" w:eastAsia="黑体"/>
          <w:b w:val="0"/>
          <w:bCs/>
          <w:sz w:val="24"/>
          <w:szCs w:val="24"/>
        </w:rPr>
        <w:t>、付款是以原料收齐、验收合格，且相应的发票收齐为前提。</w:t>
      </w:r>
    </w:p>
    <w:p w14:paraId="1FFB79B6">
      <w:pPr>
        <w:pStyle w:val="18"/>
        <w:adjustRightInd w:val="0"/>
        <w:snapToGrid w:val="0"/>
        <w:spacing w:before="60" w:beforeLines="25" w:line="300" w:lineRule="auto"/>
        <w:rPr>
          <w:rFonts w:ascii="黑体" w:hAnsi="黑体" w:eastAsia="黑体"/>
          <w:b w:val="0"/>
          <w:bCs/>
          <w:sz w:val="24"/>
          <w:szCs w:val="24"/>
        </w:rPr>
      </w:pPr>
      <w:r>
        <w:rPr>
          <w:rFonts w:hint="eastAsia" w:ascii="黑体" w:hAnsi="黑体" w:eastAsia="黑体"/>
          <w:b w:val="0"/>
          <w:bCs/>
          <w:sz w:val="24"/>
          <w:szCs w:val="24"/>
          <w:lang w:val="en-US" w:eastAsia="zh-CN"/>
        </w:rPr>
        <w:t>6</w:t>
      </w:r>
      <w:r>
        <w:rPr>
          <w:rFonts w:hint="eastAsia" w:ascii="黑体" w:hAnsi="黑体" w:eastAsia="黑体"/>
          <w:b w:val="0"/>
          <w:bCs/>
          <w:sz w:val="24"/>
          <w:szCs w:val="24"/>
        </w:rPr>
        <w:t>、报价含送到需方指定地点的运费，保险费及含</w:t>
      </w:r>
      <w:r>
        <w:rPr>
          <w:rFonts w:ascii="黑体" w:hAnsi="黑体" w:eastAsia="黑体"/>
          <w:b w:val="0"/>
          <w:bCs/>
          <w:sz w:val="24"/>
          <w:szCs w:val="24"/>
        </w:rPr>
        <w:t>1</w:t>
      </w:r>
      <w:r>
        <w:rPr>
          <w:rFonts w:hint="eastAsia" w:ascii="黑体" w:hAnsi="黑体" w:eastAsia="黑体"/>
          <w:b w:val="0"/>
          <w:bCs/>
          <w:sz w:val="24"/>
          <w:szCs w:val="24"/>
        </w:rPr>
        <w:t>3</w:t>
      </w:r>
      <w:r>
        <w:rPr>
          <w:rFonts w:ascii="黑体" w:hAnsi="黑体" w:eastAsia="黑体"/>
          <w:b w:val="0"/>
          <w:bCs/>
          <w:sz w:val="24"/>
          <w:szCs w:val="24"/>
        </w:rPr>
        <w:t>%</w:t>
      </w:r>
      <w:r>
        <w:rPr>
          <w:rFonts w:hint="eastAsia" w:ascii="黑体" w:hAnsi="黑体" w:eastAsia="黑体"/>
          <w:b w:val="0"/>
          <w:bCs/>
          <w:sz w:val="24"/>
          <w:szCs w:val="24"/>
        </w:rPr>
        <w:t>增值税。</w:t>
      </w:r>
    </w:p>
    <w:p w14:paraId="2A690167">
      <w:pPr>
        <w:pStyle w:val="18"/>
        <w:adjustRightInd w:val="0"/>
        <w:snapToGrid w:val="0"/>
        <w:spacing w:before="60" w:beforeLines="25" w:line="300" w:lineRule="auto"/>
        <w:rPr>
          <w:rFonts w:ascii="黑体" w:hAnsi="黑体" w:eastAsia="黑体"/>
          <w:b w:val="0"/>
          <w:bCs/>
          <w:sz w:val="24"/>
          <w:szCs w:val="24"/>
        </w:rPr>
      </w:pPr>
      <w:r>
        <w:rPr>
          <w:rFonts w:hint="eastAsia" w:ascii="黑体" w:hAnsi="黑体" w:eastAsia="黑体"/>
          <w:b w:val="0"/>
          <w:bCs/>
          <w:sz w:val="24"/>
          <w:szCs w:val="24"/>
          <w:lang w:val="en-US" w:eastAsia="zh-CN"/>
        </w:rPr>
        <w:t>7</w:t>
      </w:r>
      <w:r>
        <w:rPr>
          <w:rFonts w:hint="eastAsia" w:ascii="黑体" w:hAnsi="黑体" w:eastAsia="黑体"/>
          <w:b w:val="0"/>
          <w:bCs/>
          <w:sz w:val="24"/>
          <w:szCs w:val="24"/>
        </w:rPr>
        <w:t>、回传加盖单位公章有效。</w:t>
      </w:r>
    </w:p>
    <w:p w14:paraId="508AE05B">
      <w:pPr>
        <w:rPr>
          <w:rFonts w:hint="eastAsia" w:ascii="宋体" w:hAnsi="宋体"/>
          <w:sz w:val="30"/>
          <w:szCs w:val="30"/>
        </w:rPr>
      </w:pPr>
    </w:p>
    <w:p w14:paraId="567F89E5">
      <w:pPr>
        <w:ind w:firstLine="7080" w:firstLineChars="2950"/>
        <w:rPr>
          <w:rFonts w:ascii="宋体" w:hAnsi="宋体"/>
          <w:sz w:val="24"/>
          <w:szCs w:val="24"/>
        </w:rPr>
      </w:pPr>
    </w:p>
    <w:p w14:paraId="0BDEE08A">
      <w:pPr>
        <w:pStyle w:val="80"/>
        <w:ind w:left="0" w:firstLine="0"/>
        <w:jc w:val="both"/>
        <w:rPr>
          <w:rFonts w:hint="eastAsia"/>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1701" w:right="1021" w:bottom="1304" w:left="1191" w:header="907" w:footer="851"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Arial Black">
    <w:panose1 w:val="020B0A04020102020204"/>
    <w:charset w:val="00"/>
    <w:family w:val="swiss"/>
    <w:pitch w:val="default"/>
    <w:sig w:usb0="A00002AF" w:usb1="400078FB" w:usb2="00000000" w:usb3="00000000" w:csb0="6000009F" w:csb1="DFD70000"/>
  </w:font>
  <w:font w:name="Courier New">
    <w:panose1 w:val="02070309020205020404"/>
    <w:charset w:val="00"/>
    <w:family w:val="modern"/>
    <w:pitch w:val="default"/>
    <w:sig w:usb0="E0002E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780440">
    <w:pPr>
      <w:pStyle w:val="12"/>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lang/>
      </w:rPr>
      <w:t>1</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lang/>
      </w:rPr>
      <w:t>3</w:t>
    </w:r>
    <w:r>
      <w:rPr>
        <w:b/>
        <w:sz w:val="24"/>
        <w:szCs w:val="24"/>
      </w:rPr>
      <w:fldChar w:fldCharType="end"/>
    </w:r>
  </w:p>
  <w:p w14:paraId="786700B8">
    <w:pPr>
      <w:pStyle w:val="1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C2C8C8">
    <w:pPr>
      <w:pStyle w:val="12"/>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Pr>
        <w:kern w:val="0"/>
        <w:szCs w:val="21"/>
        <w:lang/>
      </w:rPr>
      <w:t>3</w:t>
    </w:r>
    <w:r>
      <w:rPr>
        <w:kern w:val="0"/>
        <w:szCs w:val="21"/>
      </w:rPr>
      <w:fldChar w:fldCharType="end"/>
    </w:r>
    <w:r>
      <w:rPr>
        <w:kern w:val="0"/>
        <w:szCs w:val="21"/>
      </w:rPr>
      <w:t xml:space="preserve"> </w:t>
    </w:r>
    <w:r>
      <w:rPr>
        <w:rFonts w:hint="eastAsia"/>
        <w:kern w:val="0"/>
        <w:szCs w:val="21"/>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16744C">
    <w:pPr>
      <w:pStyle w:val="12"/>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Pr>
        <w:kern w:val="0"/>
        <w:szCs w:val="21"/>
        <w:lang/>
      </w:rPr>
      <w:t>3</w:t>
    </w:r>
    <w:r>
      <w:rPr>
        <w:kern w:val="0"/>
        <w:szCs w:val="21"/>
      </w:rPr>
      <w:fldChar w:fldCharType="end"/>
    </w:r>
    <w:r>
      <w:rPr>
        <w:kern w:val="0"/>
        <w:szCs w:val="21"/>
      </w:rPr>
      <w:t xml:space="preserve"> </w:t>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D334A">
    <w:pPr>
      <w:pStyle w:val="13"/>
      <w:wordWrap w:val="0"/>
      <w:jc w:val="right"/>
      <w:rPr>
        <w:rFonts w:ascii="黑体" w:eastAsia="黑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0" w:type="auto"/>
      <w:tblInd w:w="108"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02"/>
      <w:gridCol w:w="5662"/>
      <w:gridCol w:w="1884"/>
    </w:tblGrid>
    <w:tr w14:paraId="603A01D1">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dxa"/>
        <w:trHeight w:val="646" w:hRule="atLeast"/>
      </w:trPr>
      <w:tc>
        <w:tcPr>
          <w:tcW w:w="1810" w:type="dxa"/>
          <w:tcBorders>
            <w:top w:val="nil"/>
            <w:bottom w:val="nil"/>
          </w:tcBorders>
          <w:noWrap w:val="0"/>
          <w:vAlign w:val="bottom"/>
        </w:tcPr>
        <w:p w14:paraId="08D6940E">
          <w:pPr>
            <w:pStyle w:val="13"/>
            <w:ind w:right="-126" w:rightChars="-60"/>
            <w:jc w:val="both"/>
            <w:rPr>
              <w:sz w:val="21"/>
              <w:szCs w:val="21"/>
            </w:rPr>
          </w:pPr>
          <w:r>
            <w:rPr>
              <w:rFonts w:ascii="黑体" w:eastAsia="黑体"/>
              <w:sz w:val="21"/>
              <w:szCs w:val="21"/>
            </w:rPr>
            <w:t>LTHGF.SC.J-2008-</w:t>
          </w:r>
        </w:p>
      </w:tc>
      <w:tc>
        <w:tcPr>
          <w:tcW w:w="5662" w:type="dxa"/>
          <w:tcBorders>
            <w:top w:val="nil"/>
            <w:bottom w:val="nil"/>
          </w:tcBorders>
          <w:noWrap w:val="0"/>
          <w:vAlign w:val="bottom"/>
        </w:tcPr>
        <w:p w14:paraId="0DA6C2A4">
          <w:pPr>
            <w:pStyle w:val="13"/>
            <w:ind w:left="-88" w:leftChars="-42"/>
            <w:jc w:val="both"/>
            <w:rPr>
              <w:rFonts w:ascii="黑体" w:eastAsia="黑体"/>
              <w:sz w:val="21"/>
              <w:szCs w:val="21"/>
            </w:rPr>
          </w:pPr>
        </w:p>
      </w:tc>
      <w:tc>
        <w:tcPr>
          <w:tcW w:w="1884" w:type="dxa"/>
          <w:tcBorders>
            <w:top w:val="nil"/>
            <w:bottom w:val="nil"/>
          </w:tcBorders>
          <w:noWrap w:val="0"/>
          <w:vAlign w:val="top"/>
        </w:tcPr>
        <w:p w14:paraId="1723ED21">
          <w:pPr>
            <w:pStyle w:val="13"/>
            <w:ind w:left="-88" w:leftChars="-42"/>
            <w:jc w:val="left"/>
            <w:rPr>
              <w:rFonts w:ascii="黑体" w:eastAsia="黑体"/>
              <w:sz w:val="21"/>
              <w:szCs w:val="21"/>
            </w:rPr>
          </w:pPr>
          <w:r>
            <w:rPr>
              <w:rFonts w:hint="eastAsia"/>
              <w:lang/>
            </w:rPr>
            <w:drawing>
              <wp:inline distT="0" distB="0" distL="114300" distR="114300">
                <wp:extent cx="1077595" cy="388620"/>
                <wp:effectExtent l="0" t="0" r="8255" b="11430"/>
                <wp:docPr id="1" name="图片 1" descr="泸天化带英文彩色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泸天化带英文彩色LOGO"/>
                        <pic:cNvPicPr>
                          <a:picLocks noChangeAspect="1"/>
                        </pic:cNvPicPr>
                      </pic:nvPicPr>
                      <pic:blipFill>
                        <a:blip r:embed="rId1"/>
                        <a:stretch>
                          <a:fillRect/>
                        </a:stretch>
                      </pic:blipFill>
                      <pic:spPr>
                        <a:xfrm>
                          <a:off x="0" y="0"/>
                          <a:ext cx="1077595" cy="388620"/>
                        </a:xfrm>
                        <a:prstGeom prst="rect">
                          <a:avLst/>
                        </a:prstGeom>
                        <a:noFill/>
                        <a:ln>
                          <a:noFill/>
                        </a:ln>
                      </pic:spPr>
                    </pic:pic>
                  </a:graphicData>
                </a:graphic>
              </wp:inline>
            </w:drawing>
          </w:r>
        </w:p>
      </w:tc>
    </w:tr>
  </w:tbl>
  <w:p w14:paraId="624EFB02">
    <w:pPr>
      <w:rPr>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0" w:type="auto"/>
      <w:tblInd w:w="108"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59"/>
      <w:gridCol w:w="4679"/>
      <w:gridCol w:w="1843"/>
      <w:gridCol w:w="581"/>
    </w:tblGrid>
    <w:tr w14:paraId="19F0D151">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dxa"/>
        <w:trHeight w:val="709" w:hRule="atLeast"/>
      </w:trPr>
      <w:tc>
        <w:tcPr>
          <w:tcW w:w="2267" w:type="dxa"/>
          <w:tcBorders>
            <w:top w:val="nil"/>
          </w:tcBorders>
          <w:noWrap w:val="0"/>
          <w:vAlign w:val="top"/>
        </w:tcPr>
        <w:p w14:paraId="6C58A6FC">
          <w:pPr>
            <w:pStyle w:val="13"/>
            <w:ind w:left="-108" w:leftChars="-52" w:right="-126" w:rightChars="-60" w:hanging="1" w:hangingChars="1"/>
            <w:jc w:val="left"/>
            <w:rPr>
              <w:sz w:val="21"/>
              <w:szCs w:val="21"/>
            </w:rPr>
          </w:pPr>
          <w:r>
            <w:rPr>
              <w:rFonts w:hint="eastAsia"/>
              <w:lang/>
            </w:rPr>
            <w:drawing>
              <wp:inline distT="0" distB="0" distL="114300" distR="114300">
                <wp:extent cx="1282065" cy="547370"/>
                <wp:effectExtent l="0" t="0" r="13335" b="5080"/>
                <wp:docPr id="2" name="图片 1" descr="LOGO-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LOGO-0.jpg"/>
                        <pic:cNvPicPr>
                          <a:picLocks noChangeAspect="1"/>
                        </pic:cNvPicPr>
                      </pic:nvPicPr>
                      <pic:blipFill>
                        <a:blip r:embed="rId1"/>
                        <a:srcRect l="35846" t="17989" r="10149" b="14999"/>
                        <a:stretch>
                          <a:fillRect/>
                        </a:stretch>
                      </pic:blipFill>
                      <pic:spPr>
                        <a:xfrm>
                          <a:off x="0" y="0"/>
                          <a:ext cx="1282065" cy="547370"/>
                        </a:xfrm>
                        <a:prstGeom prst="rect">
                          <a:avLst/>
                        </a:prstGeom>
                        <a:noFill/>
                        <a:ln>
                          <a:noFill/>
                        </a:ln>
                      </pic:spPr>
                    </pic:pic>
                  </a:graphicData>
                </a:graphic>
              </wp:inline>
            </w:drawing>
          </w:r>
        </w:p>
      </w:tc>
      <w:tc>
        <w:tcPr>
          <w:tcW w:w="4679" w:type="dxa"/>
          <w:tcBorders>
            <w:top w:val="nil"/>
          </w:tcBorders>
          <w:noWrap w:val="0"/>
          <w:vAlign w:val="center"/>
        </w:tcPr>
        <w:p w14:paraId="668E4527">
          <w:pPr>
            <w:adjustRightInd w:val="0"/>
            <w:snapToGrid w:val="0"/>
            <w:ind w:firstLine="318" w:firstLineChars="212"/>
            <w:rPr>
              <w:rFonts w:ascii="黑体" w:eastAsia="黑体"/>
              <w:szCs w:val="21"/>
            </w:rPr>
          </w:pPr>
          <w:r>
            <w:rPr>
              <w:rFonts w:hint="eastAsia" w:ascii="黑体" w:eastAsia="黑体"/>
              <w:sz w:val="15"/>
              <w:szCs w:val="15"/>
            </w:rPr>
            <w:t>地址：四川省</w:t>
          </w:r>
          <w:r>
            <w:rPr>
              <w:rFonts w:ascii="黑体" w:eastAsia="黑体"/>
              <w:sz w:val="15"/>
              <w:szCs w:val="15"/>
            </w:rPr>
            <w:t xml:space="preserve"> </w:t>
          </w:r>
          <w:r>
            <w:rPr>
              <w:rFonts w:hint="eastAsia" w:ascii="黑体" w:eastAsia="黑体"/>
              <w:sz w:val="15"/>
              <w:szCs w:val="15"/>
            </w:rPr>
            <w:t>泸州市</w:t>
          </w:r>
          <w:r>
            <w:rPr>
              <w:rFonts w:ascii="黑体" w:eastAsia="黑体"/>
              <w:sz w:val="15"/>
              <w:szCs w:val="15"/>
            </w:rPr>
            <w:t xml:space="preserve"> </w:t>
          </w:r>
          <w:r>
            <w:rPr>
              <w:rFonts w:hint="eastAsia" w:ascii="黑体" w:eastAsia="黑体"/>
              <w:sz w:val="15"/>
              <w:szCs w:val="15"/>
            </w:rPr>
            <w:t>纳溪区</w:t>
          </w:r>
          <w:r>
            <w:rPr>
              <w:rFonts w:ascii="黑体" w:eastAsia="黑体"/>
              <w:sz w:val="15"/>
              <w:szCs w:val="15"/>
            </w:rPr>
            <w:t xml:space="preserve"> </w:t>
          </w:r>
        </w:p>
        <w:p w14:paraId="5537BE88">
          <w:pPr>
            <w:adjustRightInd w:val="0"/>
            <w:snapToGrid w:val="0"/>
            <w:ind w:firstLine="318" w:firstLineChars="212"/>
            <w:rPr>
              <w:rFonts w:ascii="黑体" w:eastAsia="黑体"/>
              <w:sz w:val="15"/>
              <w:szCs w:val="15"/>
            </w:rPr>
          </w:pPr>
          <w:r>
            <w:rPr>
              <w:rFonts w:ascii="黑体" w:eastAsia="黑体"/>
              <w:sz w:val="15"/>
              <w:szCs w:val="15"/>
            </w:rPr>
            <w:t>Add</w:t>
          </w:r>
          <w:r>
            <w:rPr>
              <w:rFonts w:hint="eastAsia" w:ascii="黑体" w:eastAsia="黑体"/>
              <w:sz w:val="15"/>
              <w:szCs w:val="15"/>
            </w:rPr>
            <w:t>：</w:t>
          </w:r>
          <w:r>
            <w:rPr>
              <w:rFonts w:ascii="黑体" w:eastAsia="黑体"/>
              <w:sz w:val="10"/>
              <w:szCs w:val="10"/>
            </w:rPr>
            <w:t xml:space="preserve"> </w:t>
          </w:r>
          <w:r>
            <w:rPr>
              <w:rFonts w:ascii="黑体" w:eastAsia="黑体"/>
              <w:spacing w:val="-4"/>
              <w:sz w:val="15"/>
              <w:szCs w:val="15"/>
            </w:rPr>
            <w:t>Naxi District, Luzhou City Sichuan Province</w:t>
          </w:r>
        </w:p>
        <w:p w14:paraId="663E82D4">
          <w:pPr>
            <w:pStyle w:val="13"/>
            <w:adjustRightInd w:val="0"/>
            <w:ind w:firstLine="318" w:firstLineChars="212"/>
            <w:jc w:val="both"/>
            <w:rPr>
              <w:rFonts w:ascii="黑体" w:eastAsia="黑体"/>
              <w:sz w:val="15"/>
              <w:szCs w:val="15"/>
            </w:rPr>
          </w:pPr>
          <w:r>
            <w:rPr>
              <w:rFonts w:hint="eastAsia" w:ascii="黑体" w:eastAsia="黑体"/>
              <w:sz w:val="15"/>
              <w:szCs w:val="15"/>
            </w:rPr>
            <w:t>传真</w:t>
          </w:r>
          <w:r>
            <w:rPr>
              <w:rFonts w:ascii="黑体" w:eastAsia="黑体"/>
              <w:sz w:val="15"/>
              <w:szCs w:val="15"/>
            </w:rPr>
            <w:t>FAX</w:t>
          </w:r>
          <w:r>
            <w:rPr>
              <w:rFonts w:hint="eastAsia" w:ascii="黑体" w:eastAsia="黑体"/>
              <w:sz w:val="15"/>
              <w:szCs w:val="15"/>
            </w:rPr>
            <w:t>：</w:t>
          </w:r>
          <w:r>
            <w:rPr>
              <w:rFonts w:ascii="黑体" w:eastAsia="黑体"/>
              <w:sz w:val="15"/>
              <w:szCs w:val="15"/>
            </w:rPr>
            <w:t xml:space="preserve">0830-          </w:t>
          </w:r>
          <w:r>
            <w:rPr>
              <w:rFonts w:hint="eastAsia" w:ascii="黑体" w:eastAsia="黑体"/>
              <w:sz w:val="15"/>
              <w:szCs w:val="15"/>
            </w:rPr>
            <w:t>电话</w:t>
          </w:r>
          <w:r>
            <w:rPr>
              <w:rFonts w:ascii="黑体" w:eastAsia="黑体"/>
              <w:sz w:val="15"/>
              <w:szCs w:val="15"/>
            </w:rPr>
            <w:t>TEL</w:t>
          </w:r>
          <w:r>
            <w:rPr>
              <w:rFonts w:hint="eastAsia" w:ascii="黑体" w:eastAsia="黑体"/>
              <w:sz w:val="15"/>
              <w:szCs w:val="15"/>
            </w:rPr>
            <w:t>：</w:t>
          </w:r>
          <w:r>
            <w:rPr>
              <w:rFonts w:ascii="黑体" w:eastAsia="黑体"/>
              <w:sz w:val="15"/>
              <w:szCs w:val="15"/>
            </w:rPr>
            <w:t>0830-</w:t>
          </w:r>
        </w:p>
        <w:p w14:paraId="472EF051">
          <w:pPr>
            <w:adjustRightInd w:val="0"/>
            <w:snapToGrid w:val="0"/>
            <w:ind w:firstLine="318" w:firstLineChars="212"/>
            <w:rPr>
              <w:rFonts w:ascii="黑体" w:eastAsia="黑体"/>
              <w:szCs w:val="21"/>
            </w:rPr>
          </w:pPr>
          <w:r>
            <w:rPr>
              <w:rFonts w:hint="eastAsia" w:ascii="黑体" w:eastAsia="黑体"/>
              <w:sz w:val="15"/>
              <w:szCs w:val="15"/>
            </w:rPr>
            <w:t>邮箱</w:t>
          </w:r>
          <w:r>
            <w:rPr>
              <w:rFonts w:ascii="黑体" w:eastAsia="黑体"/>
              <w:sz w:val="15"/>
              <w:szCs w:val="15"/>
            </w:rPr>
            <w:t>E-mail:</w:t>
          </w:r>
        </w:p>
      </w:tc>
      <w:tc>
        <w:tcPr>
          <w:tcW w:w="1843" w:type="dxa"/>
          <w:tcBorders>
            <w:top w:val="nil"/>
          </w:tcBorders>
          <w:noWrap w:val="0"/>
          <w:vAlign w:val="bottom"/>
        </w:tcPr>
        <w:p w14:paraId="5F31E5EE">
          <w:pPr>
            <w:pStyle w:val="13"/>
            <w:adjustRightInd w:val="0"/>
            <w:ind w:left="-88" w:leftChars="-42" w:right="-73" w:rightChars="-35"/>
            <w:jc w:val="right"/>
            <w:rPr>
              <w:rFonts w:ascii="黑体" w:eastAsia="黑体"/>
              <w:sz w:val="21"/>
              <w:szCs w:val="21"/>
            </w:rPr>
          </w:pPr>
          <w:r>
            <w:rPr>
              <w:rFonts w:ascii="黑体" w:eastAsia="黑体"/>
              <w:sz w:val="21"/>
              <w:szCs w:val="21"/>
            </w:rPr>
            <w:t>LTHGF.SC.J-2008-</w:t>
          </w:r>
        </w:p>
      </w:tc>
      <w:tc>
        <w:tcPr>
          <w:tcW w:w="581" w:type="dxa"/>
          <w:tcBorders>
            <w:top w:val="nil"/>
          </w:tcBorders>
          <w:noWrap w:val="0"/>
          <w:vAlign w:val="bottom"/>
        </w:tcPr>
        <w:p w14:paraId="42093681">
          <w:pPr>
            <w:pStyle w:val="13"/>
            <w:ind w:left="-88" w:leftChars="-42"/>
            <w:jc w:val="both"/>
            <w:rPr>
              <w:rFonts w:ascii="黑体" w:eastAsia="黑体"/>
              <w:sz w:val="21"/>
              <w:szCs w:val="21"/>
            </w:rPr>
          </w:pPr>
        </w:p>
      </w:tc>
    </w:tr>
  </w:tbl>
  <w:p w14:paraId="2BD59FE8">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3"/>
      <w:numFmt w:val="none"/>
      <w:pStyle w:val="51"/>
      <w:suff w:val="nothing"/>
      <w:lvlText w:val="%1"/>
      <w:lvlJc w:val="left"/>
      <w:rPr>
        <w:rFonts w:hint="default" w:ascii="Times New Roman" w:hAnsi="Times New Roman" w:cs="Times New Roman"/>
        <w:b/>
        <w:i w:val="0"/>
        <w:sz w:val="21"/>
      </w:rPr>
    </w:lvl>
    <w:lvl w:ilvl="1" w:tentative="0">
      <w:start w:val="1"/>
      <w:numFmt w:val="decimal"/>
      <w:pStyle w:val="35"/>
      <w:suff w:val="nothing"/>
      <w:lvlText w:val="%1%2　"/>
      <w:lvlJc w:val="left"/>
      <w:rPr>
        <w:rFonts w:hint="eastAsia" w:ascii="黑体" w:hAnsi="黑体" w:eastAsia="黑体" w:cs="Times New Roman"/>
        <w:b/>
        <w:bCs/>
        <w:i w:val="0"/>
        <w:iCs w:val="0"/>
        <w:caps w:val="0"/>
        <w:smallCaps w:val="0"/>
        <w:strike w:val="0"/>
        <w:dstrike w:val="0"/>
        <w:outline w:val="0"/>
        <w:shadow w:val="0"/>
        <w:emboss w:val="0"/>
        <w:imprint w:val="0"/>
        <w:color w:val="auto"/>
        <w:spacing w:val="0"/>
        <w:w w:val="100"/>
        <w:kern w:val="0"/>
        <w:position w:val="0"/>
        <w:sz w:val="21"/>
        <w:szCs w:val="21"/>
        <w:u w:val="none"/>
      </w:rPr>
    </w:lvl>
    <w:lvl w:ilvl="2" w:tentative="0">
      <w:start w:val="1"/>
      <w:numFmt w:val="decimal"/>
      <w:pStyle w:val="59"/>
      <w:suff w:val="nothing"/>
      <w:lvlText w:val="%1%2.%3　"/>
      <w:lvlJc w:val="left"/>
      <w:rPr>
        <w:rFonts w:hint="eastAsia" w:ascii="黑体" w:hAnsi="Times New Roman" w:eastAsia="黑体" w:cs="Times New Roman"/>
        <w:b/>
        <w:i w:val="0"/>
        <w:sz w:val="21"/>
      </w:rPr>
    </w:lvl>
    <w:lvl w:ilvl="3" w:tentative="0">
      <w:start w:val="1"/>
      <w:numFmt w:val="decimal"/>
      <w:pStyle w:val="67"/>
      <w:suff w:val="nothing"/>
      <w:lvlText w:val="%1%2.%3.%4　"/>
      <w:lvlJc w:val="left"/>
      <w:rPr>
        <w:rFonts w:hint="eastAsia" w:ascii="黑体" w:hAnsi="Times New Roman" w:eastAsia="黑体" w:cs="Times New Roman"/>
        <w:b/>
        <w:i w:val="0"/>
        <w:sz w:val="21"/>
      </w:rPr>
    </w:lvl>
    <w:lvl w:ilvl="4" w:tentative="0">
      <w:start w:val="1"/>
      <w:numFmt w:val="decimal"/>
      <w:pStyle w:val="66"/>
      <w:suff w:val="nothing"/>
      <w:lvlText w:val="%1%2.%3.%4.%5　"/>
      <w:lvlJc w:val="left"/>
      <w:rPr>
        <w:rFonts w:hint="eastAsia" w:ascii="黑体" w:hAnsi="Times New Roman" w:eastAsia="黑体" w:cs="Times New Roman"/>
        <w:b/>
        <w:i w:val="0"/>
        <w:sz w:val="21"/>
      </w:rPr>
    </w:lvl>
    <w:lvl w:ilvl="5" w:tentative="0">
      <w:start w:val="1"/>
      <w:numFmt w:val="decimal"/>
      <w:pStyle w:val="65"/>
      <w:suff w:val="nothing"/>
      <w:lvlText w:val="%1%2.%3.%4.%5.%6　"/>
      <w:lvlJc w:val="left"/>
      <w:pPr>
        <w:ind w:left="816"/>
      </w:pPr>
      <w:rPr>
        <w:rFonts w:hint="eastAsia" w:ascii="黑体" w:hAnsi="Times New Roman" w:eastAsia="黑体" w:cs="Times New Roman"/>
        <w:b w:val="0"/>
        <w:i w:val="0"/>
        <w:sz w:val="21"/>
      </w:rPr>
    </w:lvl>
    <w:lvl w:ilvl="6" w:tentative="0">
      <w:start w:val="1"/>
      <w:numFmt w:val="decimal"/>
      <w:pStyle w:val="86"/>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
    <w:nsid w:val="197A1FFC"/>
    <w:multiLevelType w:val="multilevel"/>
    <w:tmpl w:val="197A1FFC"/>
    <w:lvl w:ilvl="0" w:tentative="0">
      <w:start w:val="1"/>
      <w:numFmt w:val="decimal"/>
      <w:lvlText w:val="%1."/>
      <w:lvlJc w:val="left"/>
      <w:pPr>
        <w:tabs>
          <w:tab w:val="left" w:pos="360"/>
        </w:tabs>
        <w:ind w:left="360" w:hanging="36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oNotHyphenateCaps/>
  <w:drawingGridHorizontalSpacing w:val="0"/>
  <w:drawingGridVerticalSpacing w:val="2"/>
  <w:displayHorizontalDrawingGridEvery w:val="0"/>
  <w:displayVerticalDrawingGridEvery w:val="2"/>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NmU3NjJlYTZhZTc4NWVjYWQ3ZDhlMWQwYjM4MDEifQ=="/>
  </w:docVars>
  <w:rsids>
    <w:rsidRoot w:val="00172A27"/>
    <w:rsid w:val="00003F3A"/>
    <w:rsid w:val="00024778"/>
    <w:rsid w:val="00031F55"/>
    <w:rsid w:val="000436F0"/>
    <w:rsid w:val="00054147"/>
    <w:rsid w:val="00094396"/>
    <w:rsid w:val="00094530"/>
    <w:rsid w:val="000C4EF5"/>
    <w:rsid w:val="000D62D6"/>
    <w:rsid w:val="000E37E6"/>
    <w:rsid w:val="0011215E"/>
    <w:rsid w:val="0013427E"/>
    <w:rsid w:val="00140245"/>
    <w:rsid w:val="00160526"/>
    <w:rsid w:val="00161418"/>
    <w:rsid w:val="00172A27"/>
    <w:rsid w:val="00186AF4"/>
    <w:rsid w:val="001D1B75"/>
    <w:rsid w:val="001D66DB"/>
    <w:rsid w:val="001E0088"/>
    <w:rsid w:val="001F2693"/>
    <w:rsid w:val="001F5EFD"/>
    <w:rsid w:val="0022456A"/>
    <w:rsid w:val="0023101B"/>
    <w:rsid w:val="00242E0C"/>
    <w:rsid w:val="00260B14"/>
    <w:rsid w:val="00286CD1"/>
    <w:rsid w:val="0029139E"/>
    <w:rsid w:val="00294641"/>
    <w:rsid w:val="002E36FE"/>
    <w:rsid w:val="00316E7F"/>
    <w:rsid w:val="00325CCD"/>
    <w:rsid w:val="00326054"/>
    <w:rsid w:val="00326931"/>
    <w:rsid w:val="00346F6E"/>
    <w:rsid w:val="003576FB"/>
    <w:rsid w:val="00360CCC"/>
    <w:rsid w:val="0037332C"/>
    <w:rsid w:val="0037361A"/>
    <w:rsid w:val="00382DAC"/>
    <w:rsid w:val="003C5392"/>
    <w:rsid w:val="003D2B7D"/>
    <w:rsid w:val="003D3FF6"/>
    <w:rsid w:val="003E540A"/>
    <w:rsid w:val="003E6366"/>
    <w:rsid w:val="00424CED"/>
    <w:rsid w:val="00434AC0"/>
    <w:rsid w:val="00444270"/>
    <w:rsid w:val="00471AEA"/>
    <w:rsid w:val="00480967"/>
    <w:rsid w:val="00481382"/>
    <w:rsid w:val="00484425"/>
    <w:rsid w:val="004B488B"/>
    <w:rsid w:val="004B7828"/>
    <w:rsid w:val="004C0C86"/>
    <w:rsid w:val="004C6A22"/>
    <w:rsid w:val="004D0FBB"/>
    <w:rsid w:val="00517E5B"/>
    <w:rsid w:val="0054028C"/>
    <w:rsid w:val="005404A0"/>
    <w:rsid w:val="005621D2"/>
    <w:rsid w:val="00576F1A"/>
    <w:rsid w:val="00592C4C"/>
    <w:rsid w:val="0059330E"/>
    <w:rsid w:val="005C3A4D"/>
    <w:rsid w:val="005C3A6E"/>
    <w:rsid w:val="005D15C3"/>
    <w:rsid w:val="005E5D7A"/>
    <w:rsid w:val="00604347"/>
    <w:rsid w:val="00622B6A"/>
    <w:rsid w:val="006245E2"/>
    <w:rsid w:val="00630896"/>
    <w:rsid w:val="00647B0A"/>
    <w:rsid w:val="00665667"/>
    <w:rsid w:val="00666A26"/>
    <w:rsid w:val="00675F6A"/>
    <w:rsid w:val="006A334A"/>
    <w:rsid w:val="006B4073"/>
    <w:rsid w:val="006B6886"/>
    <w:rsid w:val="006B734D"/>
    <w:rsid w:val="006C1732"/>
    <w:rsid w:val="006D06F3"/>
    <w:rsid w:val="006E6615"/>
    <w:rsid w:val="006E7338"/>
    <w:rsid w:val="006F4BE8"/>
    <w:rsid w:val="006F63F6"/>
    <w:rsid w:val="00702978"/>
    <w:rsid w:val="00702E46"/>
    <w:rsid w:val="00732E4C"/>
    <w:rsid w:val="00735945"/>
    <w:rsid w:val="00743B6C"/>
    <w:rsid w:val="00743E72"/>
    <w:rsid w:val="007450A9"/>
    <w:rsid w:val="00752E3F"/>
    <w:rsid w:val="0077499F"/>
    <w:rsid w:val="007873BC"/>
    <w:rsid w:val="0079772E"/>
    <w:rsid w:val="007A1D07"/>
    <w:rsid w:val="007C3323"/>
    <w:rsid w:val="007C6A0B"/>
    <w:rsid w:val="007D03A3"/>
    <w:rsid w:val="007F510B"/>
    <w:rsid w:val="007F6271"/>
    <w:rsid w:val="008039F3"/>
    <w:rsid w:val="0081131A"/>
    <w:rsid w:val="008117C8"/>
    <w:rsid w:val="00834667"/>
    <w:rsid w:val="008610CF"/>
    <w:rsid w:val="008617AE"/>
    <w:rsid w:val="00863A05"/>
    <w:rsid w:val="00885E41"/>
    <w:rsid w:val="00887CF3"/>
    <w:rsid w:val="008B4A98"/>
    <w:rsid w:val="008D1263"/>
    <w:rsid w:val="008F6546"/>
    <w:rsid w:val="00952B34"/>
    <w:rsid w:val="00982F37"/>
    <w:rsid w:val="0098371F"/>
    <w:rsid w:val="0099062A"/>
    <w:rsid w:val="00992FF3"/>
    <w:rsid w:val="009D6BD0"/>
    <w:rsid w:val="009F4BB3"/>
    <w:rsid w:val="00A14BCA"/>
    <w:rsid w:val="00A16FBD"/>
    <w:rsid w:val="00A31432"/>
    <w:rsid w:val="00A334F1"/>
    <w:rsid w:val="00A4395A"/>
    <w:rsid w:val="00A54BE3"/>
    <w:rsid w:val="00A71804"/>
    <w:rsid w:val="00A80212"/>
    <w:rsid w:val="00A83263"/>
    <w:rsid w:val="00A85DF0"/>
    <w:rsid w:val="00A91AAC"/>
    <w:rsid w:val="00AA0C95"/>
    <w:rsid w:val="00AB226F"/>
    <w:rsid w:val="00B00104"/>
    <w:rsid w:val="00B0575D"/>
    <w:rsid w:val="00B10C13"/>
    <w:rsid w:val="00B165D8"/>
    <w:rsid w:val="00B227E0"/>
    <w:rsid w:val="00B4103E"/>
    <w:rsid w:val="00B42C2B"/>
    <w:rsid w:val="00B61E42"/>
    <w:rsid w:val="00B643E5"/>
    <w:rsid w:val="00B65DC2"/>
    <w:rsid w:val="00B7396D"/>
    <w:rsid w:val="00B85B00"/>
    <w:rsid w:val="00B96CD0"/>
    <w:rsid w:val="00BA453B"/>
    <w:rsid w:val="00BB6C04"/>
    <w:rsid w:val="00BD010D"/>
    <w:rsid w:val="00BD7901"/>
    <w:rsid w:val="00BF2221"/>
    <w:rsid w:val="00C0583C"/>
    <w:rsid w:val="00C14581"/>
    <w:rsid w:val="00C16900"/>
    <w:rsid w:val="00C30A70"/>
    <w:rsid w:val="00C5622A"/>
    <w:rsid w:val="00C574D6"/>
    <w:rsid w:val="00C76125"/>
    <w:rsid w:val="00C76A69"/>
    <w:rsid w:val="00CB023D"/>
    <w:rsid w:val="00CE0D5F"/>
    <w:rsid w:val="00CF347F"/>
    <w:rsid w:val="00CF6E95"/>
    <w:rsid w:val="00D34AC0"/>
    <w:rsid w:val="00D40FED"/>
    <w:rsid w:val="00D6009D"/>
    <w:rsid w:val="00D661DA"/>
    <w:rsid w:val="00D930F8"/>
    <w:rsid w:val="00DB6C41"/>
    <w:rsid w:val="00DF7AF1"/>
    <w:rsid w:val="00E345EC"/>
    <w:rsid w:val="00E375C6"/>
    <w:rsid w:val="00E5707B"/>
    <w:rsid w:val="00E575F7"/>
    <w:rsid w:val="00E60B5A"/>
    <w:rsid w:val="00E83FEF"/>
    <w:rsid w:val="00EA7590"/>
    <w:rsid w:val="00EC6058"/>
    <w:rsid w:val="00ED2A73"/>
    <w:rsid w:val="00EE0E69"/>
    <w:rsid w:val="00EE7BB9"/>
    <w:rsid w:val="00EF7937"/>
    <w:rsid w:val="00F1691F"/>
    <w:rsid w:val="00F23402"/>
    <w:rsid w:val="00F65A76"/>
    <w:rsid w:val="00F91107"/>
    <w:rsid w:val="00FA4D60"/>
    <w:rsid w:val="00FB2789"/>
    <w:rsid w:val="00FC339F"/>
    <w:rsid w:val="00FD10E9"/>
    <w:rsid w:val="010326F5"/>
    <w:rsid w:val="017F1559"/>
    <w:rsid w:val="035778A2"/>
    <w:rsid w:val="05064059"/>
    <w:rsid w:val="05766D0B"/>
    <w:rsid w:val="05B21614"/>
    <w:rsid w:val="09017FF4"/>
    <w:rsid w:val="0BB818BD"/>
    <w:rsid w:val="0E194B89"/>
    <w:rsid w:val="0F2E7EB6"/>
    <w:rsid w:val="0FCD2DCC"/>
    <w:rsid w:val="106253BF"/>
    <w:rsid w:val="14F8167C"/>
    <w:rsid w:val="15147EEB"/>
    <w:rsid w:val="17C01F39"/>
    <w:rsid w:val="19D37E05"/>
    <w:rsid w:val="1AFC1190"/>
    <w:rsid w:val="1BC203EE"/>
    <w:rsid w:val="1D1B7FA6"/>
    <w:rsid w:val="1E49291E"/>
    <w:rsid w:val="1E94529E"/>
    <w:rsid w:val="1ED33FB6"/>
    <w:rsid w:val="20245731"/>
    <w:rsid w:val="21DF3AC8"/>
    <w:rsid w:val="222352B3"/>
    <w:rsid w:val="22A12973"/>
    <w:rsid w:val="251B6BC9"/>
    <w:rsid w:val="26213859"/>
    <w:rsid w:val="26703C20"/>
    <w:rsid w:val="27736336"/>
    <w:rsid w:val="2820139C"/>
    <w:rsid w:val="29224B7E"/>
    <w:rsid w:val="29FA689B"/>
    <w:rsid w:val="2AE87C87"/>
    <w:rsid w:val="2BEF61A7"/>
    <w:rsid w:val="2CBA0AF0"/>
    <w:rsid w:val="2D24339E"/>
    <w:rsid w:val="2DAE5AC6"/>
    <w:rsid w:val="2F285C58"/>
    <w:rsid w:val="2FB6638E"/>
    <w:rsid w:val="32D0288E"/>
    <w:rsid w:val="33D44341"/>
    <w:rsid w:val="34355DEE"/>
    <w:rsid w:val="35E435DE"/>
    <w:rsid w:val="37684684"/>
    <w:rsid w:val="38AF25F3"/>
    <w:rsid w:val="399615FD"/>
    <w:rsid w:val="3B030C28"/>
    <w:rsid w:val="3B851075"/>
    <w:rsid w:val="3CA350E0"/>
    <w:rsid w:val="3DB17407"/>
    <w:rsid w:val="3FB11C9A"/>
    <w:rsid w:val="416F7FE6"/>
    <w:rsid w:val="41736D61"/>
    <w:rsid w:val="42DD761F"/>
    <w:rsid w:val="433F136A"/>
    <w:rsid w:val="48BE2583"/>
    <w:rsid w:val="4A6D4A0F"/>
    <w:rsid w:val="4A965D14"/>
    <w:rsid w:val="4DC3174B"/>
    <w:rsid w:val="4E177574"/>
    <w:rsid w:val="4E5C6C13"/>
    <w:rsid w:val="4E61273E"/>
    <w:rsid w:val="4FBA7169"/>
    <w:rsid w:val="52237BBC"/>
    <w:rsid w:val="52460BB4"/>
    <w:rsid w:val="535D027D"/>
    <w:rsid w:val="554C5DBA"/>
    <w:rsid w:val="55CE4172"/>
    <w:rsid w:val="56685752"/>
    <w:rsid w:val="56EE790B"/>
    <w:rsid w:val="571260C9"/>
    <w:rsid w:val="57911D3D"/>
    <w:rsid w:val="5846521D"/>
    <w:rsid w:val="58A25410"/>
    <w:rsid w:val="596E6074"/>
    <w:rsid w:val="59906EC6"/>
    <w:rsid w:val="5C8A3BAB"/>
    <w:rsid w:val="5D02380E"/>
    <w:rsid w:val="5D864C1E"/>
    <w:rsid w:val="5DB744C7"/>
    <w:rsid w:val="5E0B004A"/>
    <w:rsid w:val="5F8B1768"/>
    <w:rsid w:val="5FD3144D"/>
    <w:rsid w:val="60F418AA"/>
    <w:rsid w:val="61B20587"/>
    <w:rsid w:val="61D45648"/>
    <w:rsid w:val="6206182B"/>
    <w:rsid w:val="62775FD3"/>
    <w:rsid w:val="63CF6E91"/>
    <w:rsid w:val="65796923"/>
    <w:rsid w:val="65AD3773"/>
    <w:rsid w:val="66A852F5"/>
    <w:rsid w:val="681A1931"/>
    <w:rsid w:val="6A4C00CF"/>
    <w:rsid w:val="6B596BBE"/>
    <w:rsid w:val="6B83609A"/>
    <w:rsid w:val="6D877A12"/>
    <w:rsid w:val="6DFF2CE8"/>
    <w:rsid w:val="6E2219F6"/>
    <w:rsid w:val="6FBE109A"/>
    <w:rsid w:val="6FE470E4"/>
    <w:rsid w:val="74712C59"/>
    <w:rsid w:val="76EA096E"/>
    <w:rsid w:val="76EB63F0"/>
    <w:rsid w:val="770B1E2E"/>
    <w:rsid w:val="77CC0DC2"/>
    <w:rsid w:val="77E617D9"/>
    <w:rsid w:val="78113325"/>
    <w:rsid w:val="78467291"/>
    <w:rsid w:val="78506353"/>
    <w:rsid w:val="7889755B"/>
    <w:rsid w:val="78D41F79"/>
    <w:rsid w:val="79346574"/>
    <w:rsid w:val="795A2EED"/>
    <w:rsid w:val="7B1D4407"/>
    <w:rsid w:val="7B7E60EA"/>
    <w:rsid w:val="7C6D7A65"/>
    <w:rsid w:val="7E300B11"/>
    <w:rsid w:val="7F032EEB"/>
    <w:rsid w:val="7FAD475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nhideWhenUsed="0" w:uiPriority="0" w:name="Balloon Text"/>
    <w:lsdException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2">
    <w:name w:val="heading 1"/>
    <w:basedOn w:val="1"/>
    <w:next w:val="1"/>
    <w:link w:val="29"/>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3" w:lineRule="auto"/>
      <w:outlineLvl w:val="2"/>
    </w:pPr>
    <w:rPr>
      <w:b/>
      <w:bCs/>
      <w:sz w:val="32"/>
      <w:szCs w:val="32"/>
    </w:rPr>
  </w:style>
  <w:style w:type="character" w:default="1" w:styleId="21">
    <w:name w:val="Default Paragraph Font"/>
    <w:semiHidden/>
    <w:uiPriority w:val="0"/>
  </w:style>
  <w:style w:type="table" w:default="1" w:styleId="20">
    <w:name w:val="Normal Table"/>
    <w:semiHidden/>
    <w:uiPriority w:val="0"/>
    <w:tblPr>
      <w:tblStyle w:val="20"/>
      <w:tblCellMar>
        <w:top w:w="0" w:type="dxa"/>
        <w:left w:w="108" w:type="dxa"/>
        <w:bottom w:w="0" w:type="dxa"/>
        <w:right w:w="108" w:type="dxa"/>
      </w:tblCellMar>
    </w:tblPr>
  </w:style>
  <w:style w:type="paragraph" w:styleId="5">
    <w:name w:val="Body Text"/>
    <w:basedOn w:val="1"/>
    <w:link w:val="25"/>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kern w:val="0"/>
      <w:sz w:val="24"/>
    </w:rPr>
  </w:style>
  <w:style w:type="paragraph" w:styleId="6">
    <w:name w:val="Body Text Indent"/>
    <w:basedOn w:val="1"/>
    <w:uiPriority w:val="0"/>
    <w:pPr>
      <w:spacing w:line="400" w:lineRule="exact"/>
      <w:ind w:firstLine="540" w:firstLineChars="225"/>
    </w:pPr>
    <w:rPr>
      <w:sz w:val="24"/>
    </w:rPr>
  </w:style>
  <w:style w:type="paragraph" w:styleId="7">
    <w:name w:val="toc 3"/>
    <w:basedOn w:val="1"/>
    <w:next w:val="1"/>
    <w:semiHidden/>
    <w:uiPriority w:val="0"/>
    <w:pPr>
      <w:ind w:left="200" w:leftChars="200"/>
    </w:pPr>
  </w:style>
  <w:style w:type="paragraph" w:styleId="8">
    <w:name w:val="Plain Text"/>
    <w:basedOn w:val="1"/>
    <w:link w:val="30"/>
    <w:uiPriority w:val="0"/>
    <w:rPr>
      <w:rFonts w:ascii="宋体" w:hAnsi="Courier New" w:cs="Courier New"/>
      <w:szCs w:val="21"/>
    </w:rPr>
  </w:style>
  <w:style w:type="paragraph" w:styleId="9">
    <w:name w:val="Date"/>
    <w:basedOn w:val="1"/>
    <w:next w:val="1"/>
    <w:uiPriority w:val="0"/>
    <w:pPr>
      <w:ind w:left="100" w:leftChars="2500"/>
    </w:pPr>
  </w:style>
  <w:style w:type="paragraph" w:styleId="10">
    <w:name w:val="Body Text Indent 2"/>
    <w:basedOn w:val="1"/>
    <w:uiPriority w:val="0"/>
    <w:pPr>
      <w:spacing w:line="400" w:lineRule="exact"/>
      <w:ind w:firstLine="360" w:firstLineChars="150"/>
    </w:pPr>
    <w:rPr>
      <w:sz w:val="24"/>
    </w:rPr>
  </w:style>
  <w:style w:type="paragraph" w:styleId="11">
    <w:name w:val="Balloon Text"/>
    <w:basedOn w:val="1"/>
    <w:semiHidden/>
    <w:uiPriority w:val="0"/>
    <w:rPr>
      <w:sz w:val="18"/>
      <w:szCs w:val="18"/>
    </w:rPr>
  </w:style>
  <w:style w:type="paragraph" w:styleId="12">
    <w:name w:val="footer"/>
    <w:basedOn w:val="1"/>
    <w:link w:val="28"/>
    <w:uiPriority w:val="99"/>
    <w:pPr>
      <w:tabs>
        <w:tab w:val="center" w:pos="4153"/>
        <w:tab w:val="right" w:pos="8306"/>
      </w:tabs>
      <w:snapToGrid w:val="0"/>
      <w:jc w:val="left"/>
    </w:pPr>
    <w:rPr>
      <w:sz w:val="18"/>
      <w:szCs w:val="18"/>
    </w:rPr>
  </w:style>
  <w:style w:type="paragraph" w:styleId="13">
    <w:name w:val="header"/>
    <w:basedOn w:val="1"/>
    <w:link w:val="31"/>
    <w:uiPriority w:val="99"/>
    <w:pPr>
      <w:tabs>
        <w:tab w:val="center" w:pos="4153"/>
        <w:tab w:val="right" w:pos="8306"/>
      </w:tabs>
      <w:snapToGrid w:val="0"/>
      <w:jc w:val="center"/>
    </w:pPr>
    <w:rPr>
      <w:sz w:val="18"/>
      <w:szCs w:val="18"/>
    </w:rPr>
  </w:style>
  <w:style w:type="paragraph" w:styleId="14">
    <w:name w:val="toc 1"/>
    <w:basedOn w:val="1"/>
    <w:next w:val="1"/>
    <w:semiHidden/>
    <w:uiPriority w:val="0"/>
    <w:pPr>
      <w:tabs>
        <w:tab w:val="right" w:leader="dot" w:pos="9287"/>
      </w:tabs>
      <w:adjustRightInd w:val="0"/>
      <w:snapToGrid w:val="0"/>
      <w:spacing w:beforeLines="70" w:afterLines="30" w:line="324" w:lineRule="auto"/>
    </w:pPr>
    <w:rPr>
      <w:rFonts w:eastAsia="黑体"/>
    </w:rPr>
  </w:style>
  <w:style w:type="paragraph" w:styleId="15">
    <w:name w:val="Body Text Indent 3"/>
    <w:basedOn w:val="1"/>
    <w:uiPriority w:val="0"/>
    <w:pPr>
      <w:spacing w:line="400" w:lineRule="exact"/>
      <w:ind w:firstLine="240" w:firstLineChars="100"/>
    </w:pPr>
    <w:rPr>
      <w:sz w:val="24"/>
    </w:rPr>
  </w:style>
  <w:style w:type="paragraph" w:styleId="16">
    <w:name w:val="toc 2"/>
    <w:basedOn w:val="1"/>
    <w:next w:val="1"/>
    <w:semiHidden/>
    <w:uiPriority w:val="0"/>
    <w:pPr>
      <w:tabs>
        <w:tab w:val="right" w:leader="dot" w:pos="9287"/>
      </w:tabs>
      <w:adjustRightInd w:val="0"/>
      <w:snapToGrid w:val="0"/>
      <w:spacing w:line="324" w:lineRule="auto"/>
    </w:pPr>
    <w:rPr>
      <w:rFonts w:ascii="黑体" w:eastAsia="黑体"/>
    </w:rPr>
  </w:style>
  <w:style w:type="paragraph" w:styleId="17">
    <w:name w:val="toc 9"/>
    <w:basedOn w:val="1"/>
    <w:next w:val="1"/>
    <w:semiHidden/>
    <w:uiPriority w:val="0"/>
    <w:pPr>
      <w:ind w:left="3360" w:leftChars="1600"/>
    </w:pPr>
  </w:style>
  <w:style w:type="paragraph" w:styleId="18">
    <w:name w:val="Body Text 2"/>
    <w:basedOn w:val="1"/>
    <w:uiPriority w:val="0"/>
    <w:pPr>
      <w:spacing w:line="300" w:lineRule="exact"/>
    </w:pPr>
    <w:rPr>
      <w:sz w:val="18"/>
    </w:rPr>
  </w:style>
  <w:style w:type="paragraph" w:styleId="19">
    <w:name w:val="Message Header"/>
    <w:basedOn w:val="5"/>
    <w:uiPriority w:val="0"/>
    <w:pPr>
      <w:keepLines/>
      <w:tabs>
        <w:tab w:val="left" w:pos="720"/>
        <w:tab w:val="left" w:pos="4320"/>
        <w:tab w:val="right" w:pos="8640"/>
        <w:tab w:val="clear" w:pos="3150"/>
        <w:tab w:val="clear" w:pos="5040"/>
        <w:tab w:val="clear" w:pos="5880"/>
        <w:tab w:val="clear" w:pos="6405"/>
        <w:tab w:val="clear" w:pos="6720"/>
        <w:tab w:val="clear" w:pos="8295"/>
        <w:tab w:val="clear" w:pos="8715"/>
      </w:tabs>
      <w:spacing w:after="40" w:line="440" w:lineRule="atLeast"/>
      <w:ind w:left="720" w:right="0" w:hanging="720"/>
      <w:jc w:val="left"/>
    </w:pPr>
    <w:rPr>
      <w:rFonts w:ascii="Arial" w:hAnsi="Arial"/>
      <w:spacing w:val="-5"/>
      <w:sz w:val="21"/>
    </w:rPr>
  </w:style>
  <w:style w:type="character" w:styleId="22">
    <w:name w:val="page number"/>
    <w:basedOn w:val="21"/>
    <w:uiPriority w:val="0"/>
    <w:rPr>
      <w:rFonts w:cs="Times New Roman"/>
    </w:rPr>
  </w:style>
  <w:style w:type="character" w:styleId="23">
    <w:name w:val="Emphasis"/>
    <w:basedOn w:val="21"/>
    <w:qFormat/>
    <w:uiPriority w:val="0"/>
    <w:rPr>
      <w:rFonts w:ascii="Arial Black" w:hAnsi="Arial Black" w:eastAsia="黑体"/>
      <w:b/>
      <w:spacing w:val="0"/>
      <w:sz w:val="21"/>
      <w:lang w:eastAsia="zh-CN"/>
    </w:rPr>
  </w:style>
  <w:style w:type="character" w:styleId="24">
    <w:name w:val="Hyperlink"/>
    <w:basedOn w:val="21"/>
    <w:uiPriority w:val="0"/>
    <w:rPr>
      <w:rFonts w:cs="Times New Roman"/>
      <w:color w:val="0000FF"/>
      <w:u w:val="single"/>
    </w:rPr>
  </w:style>
  <w:style w:type="character" w:customStyle="1" w:styleId="25">
    <w:name w:val="正文文本 Char"/>
    <w:basedOn w:val="21"/>
    <w:link w:val="5"/>
    <w:uiPriority w:val="0"/>
    <w:rPr>
      <w:sz w:val="24"/>
    </w:rPr>
  </w:style>
  <w:style w:type="character" w:customStyle="1" w:styleId="26">
    <w:name w:val="消息标题号"/>
    <w:uiPriority w:val="0"/>
    <w:rPr>
      <w:rFonts w:ascii="Arial Black" w:hAnsi="Arial Black" w:eastAsia="黑体"/>
      <w:b/>
      <w:sz w:val="21"/>
      <w:lang w:eastAsia="zh-CN"/>
    </w:rPr>
  </w:style>
  <w:style w:type="character" w:customStyle="1" w:styleId="27">
    <w:name w:val="发布"/>
    <w:basedOn w:val="21"/>
    <w:uiPriority w:val="0"/>
    <w:rPr>
      <w:rFonts w:ascii="黑体" w:eastAsia="黑体" w:cs="Times New Roman"/>
      <w:spacing w:val="22"/>
      <w:w w:val="100"/>
      <w:position w:val="3"/>
      <w:sz w:val="28"/>
    </w:rPr>
  </w:style>
  <w:style w:type="character" w:customStyle="1" w:styleId="28">
    <w:name w:val="页脚 Char"/>
    <w:basedOn w:val="21"/>
    <w:link w:val="12"/>
    <w:uiPriority w:val="99"/>
    <w:rPr>
      <w:kern w:val="2"/>
      <w:sz w:val="18"/>
      <w:szCs w:val="18"/>
    </w:rPr>
  </w:style>
  <w:style w:type="character" w:customStyle="1" w:styleId="29">
    <w:name w:val="标题 1 Char"/>
    <w:basedOn w:val="21"/>
    <w:link w:val="2"/>
    <w:locked/>
    <w:uiPriority w:val="0"/>
    <w:rPr>
      <w:rFonts w:eastAsia="宋体" w:cs="Times New Roman"/>
      <w:b/>
      <w:bCs/>
      <w:kern w:val="44"/>
      <w:sz w:val="44"/>
      <w:szCs w:val="44"/>
      <w:lang w:val="en-US" w:eastAsia="zh-CN" w:bidi="ar-SA"/>
    </w:rPr>
  </w:style>
  <w:style w:type="character" w:customStyle="1" w:styleId="30">
    <w:name w:val="纯文本 Char"/>
    <w:basedOn w:val="21"/>
    <w:link w:val="8"/>
    <w:locked/>
    <w:uiPriority w:val="0"/>
    <w:rPr>
      <w:rFonts w:ascii="宋体" w:hAnsi="Courier New" w:eastAsia="宋体" w:cs="Courier New"/>
      <w:kern w:val="2"/>
      <w:sz w:val="21"/>
      <w:szCs w:val="21"/>
      <w:lang w:val="en-US" w:eastAsia="zh-CN" w:bidi="ar-SA"/>
    </w:rPr>
  </w:style>
  <w:style w:type="character" w:customStyle="1" w:styleId="31">
    <w:name w:val="页眉 Char"/>
    <w:basedOn w:val="21"/>
    <w:link w:val="13"/>
    <w:uiPriority w:val="99"/>
    <w:rPr>
      <w:kern w:val="2"/>
      <w:sz w:val="18"/>
      <w:szCs w:val="18"/>
    </w:rPr>
  </w:style>
  <w:style w:type="paragraph" w:customStyle="1" w:styleId="32">
    <w:name w:val="xl3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33">
    <w:name w:val="封面标准文稿类别"/>
    <w:uiPriority w:val="0"/>
    <w:pPr>
      <w:spacing w:before="440" w:line="400" w:lineRule="exact"/>
      <w:jc w:val="center"/>
    </w:pPr>
    <w:rPr>
      <w:rFonts w:ascii="宋体"/>
      <w:sz w:val="24"/>
      <w:lang w:val="en-US" w:eastAsia="zh-CN" w:bidi="ar-SA"/>
    </w:rPr>
  </w:style>
  <w:style w:type="paragraph" w:customStyle="1" w:styleId="34">
    <w:name w:val="xl2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35">
    <w:name w:val="章标题"/>
    <w:next w:val="36"/>
    <w:uiPriority w:val="0"/>
    <w:pPr>
      <w:numPr>
        <w:ilvl w:val="1"/>
        <w:numId w:val="1"/>
      </w:numPr>
      <w:spacing w:beforeLines="50" w:afterLines="50"/>
      <w:jc w:val="both"/>
      <w:outlineLvl w:val="1"/>
    </w:pPr>
    <w:rPr>
      <w:rFonts w:ascii="黑体" w:eastAsia="黑体"/>
      <w:sz w:val="21"/>
      <w:lang w:val="en-US" w:eastAsia="zh-CN" w:bidi="ar-SA"/>
    </w:rPr>
  </w:style>
  <w:style w:type="paragraph" w:customStyle="1" w:styleId="36">
    <w:name w:val="段"/>
    <w:uiPriority w:val="0"/>
    <w:pPr>
      <w:autoSpaceDE w:val="0"/>
      <w:autoSpaceDN w:val="0"/>
      <w:ind w:firstLine="200" w:firstLineChars="200"/>
      <w:jc w:val="both"/>
    </w:pPr>
    <w:rPr>
      <w:rFonts w:ascii="宋体"/>
      <w:sz w:val="21"/>
      <w:lang w:val="en-US" w:eastAsia="zh-CN" w:bidi="ar-SA"/>
    </w:rPr>
  </w:style>
  <w:style w:type="paragraph" w:customStyle="1" w:styleId="37">
    <w:name w:val="font5"/>
    <w:basedOn w:val="1"/>
    <w:uiPriority w:val="0"/>
    <w:pPr>
      <w:widowControl/>
      <w:spacing w:before="100" w:beforeAutospacing="1" w:after="100" w:afterAutospacing="1"/>
      <w:jc w:val="left"/>
    </w:pPr>
    <w:rPr>
      <w:rFonts w:ascii="宋体" w:hAnsi="宋体"/>
      <w:kern w:val="0"/>
      <w:sz w:val="18"/>
      <w:szCs w:val="18"/>
    </w:rPr>
  </w:style>
  <w:style w:type="paragraph" w:customStyle="1" w:styleId="38">
    <w:name w:val="标准书眉一"/>
    <w:uiPriority w:val="0"/>
    <w:pPr>
      <w:jc w:val="both"/>
    </w:pPr>
    <w:rPr>
      <w:lang w:val="en-US" w:eastAsia="zh-CN" w:bidi="ar-SA"/>
    </w:rPr>
  </w:style>
  <w:style w:type="paragraph" w:customStyle="1" w:styleId="39">
    <w:name w:val="xl3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40">
    <w:name w:val="封面标准文稿编辑信息"/>
    <w:uiPriority w:val="0"/>
    <w:pPr>
      <w:spacing w:before="180" w:line="180" w:lineRule="exact"/>
      <w:jc w:val="center"/>
    </w:pPr>
    <w:rPr>
      <w:rFonts w:ascii="宋体"/>
      <w:sz w:val="21"/>
      <w:lang w:val="en-US" w:eastAsia="zh-CN" w:bidi="ar-SA"/>
    </w:rPr>
  </w:style>
  <w:style w:type="paragraph" w:customStyle="1" w:styleId="41">
    <w:name w:val="xl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42">
    <w:name w:val="封面一致性程度标识"/>
    <w:uiPriority w:val="0"/>
    <w:pPr>
      <w:spacing w:before="440" w:line="400" w:lineRule="exact"/>
      <w:jc w:val="center"/>
    </w:pPr>
    <w:rPr>
      <w:rFonts w:ascii="宋体"/>
      <w:sz w:val="28"/>
      <w:lang w:val="en-US" w:eastAsia="zh-CN" w:bidi="ar-SA"/>
    </w:rPr>
  </w:style>
  <w:style w:type="paragraph" w:customStyle="1" w:styleId="43">
    <w:name w:val="其他标准称谓"/>
    <w:uiPriority w:val="0"/>
    <w:pPr>
      <w:spacing w:line="240" w:lineRule="atLeast"/>
      <w:jc w:val="distribute"/>
    </w:pPr>
    <w:rPr>
      <w:rFonts w:ascii="黑体" w:hAnsi="宋体" w:eastAsia="黑体"/>
      <w:sz w:val="52"/>
      <w:lang w:val="en-US" w:eastAsia="zh-CN" w:bidi="ar-SA"/>
    </w:rPr>
  </w:style>
  <w:style w:type="paragraph" w:customStyle="1" w:styleId="44">
    <w:name w:val="首消息标题"/>
    <w:basedOn w:val="19"/>
    <w:next w:val="19"/>
    <w:uiPriority w:val="0"/>
    <w:pPr>
      <w:tabs>
        <w:tab w:val="clear" w:pos="720"/>
        <w:tab w:val="clear" w:pos="4320"/>
        <w:tab w:val="clear" w:pos="8640"/>
      </w:tabs>
      <w:adjustRightInd w:val="0"/>
      <w:snapToGrid w:val="0"/>
      <w:spacing w:beforeLines="20" w:after="0" w:line="240" w:lineRule="auto"/>
      <w:ind w:left="0" w:right="-823" w:rightChars="-392" w:firstLine="0"/>
      <w:jc w:val="both"/>
    </w:pPr>
    <w:rPr>
      <w:rFonts w:ascii="黑体" w:hAnsi="Times New Roman" w:eastAsia="黑体"/>
      <w:spacing w:val="0"/>
    </w:rPr>
  </w:style>
  <w:style w:type="paragraph" w:customStyle="1" w:styleId="45">
    <w:name w:val="标准标志"/>
    <w:next w:val="1"/>
    <w:uiPriority w:val="0"/>
    <w:pPr>
      <w:shd w:val="solid" w:color="FFFFFF" w:fill="FFFFFF"/>
      <w:spacing w:line="240" w:lineRule="atLeast"/>
      <w:jc w:val="right"/>
    </w:pPr>
    <w:rPr>
      <w:b/>
      <w:w w:val="130"/>
      <w:sz w:val="96"/>
      <w:lang w:val="en-US" w:eastAsia="zh-CN" w:bidi="ar-SA"/>
    </w:rPr>
  </w:style>
  <w:style w:type="paragraph" w:customStyle="1" w:styleId="46">
    <w:name w:val="标准书脚_奇数页"/>
    <w:uiPriority w:val="0"/>
    <w:pPr>
      <w:spacing w:before="120"/>
      <w:jc w:val="right"/>
    </w:pPr>
    <w:rPr>
      <w:sz w:val="18"/>
      <w:lang w:val="en-US" w:eastAsia="zh-CN" w:bidi="ar-SA"/>
    </w:rPr>
  </w:style>
  <w:style w:type="paragraph" w:customStyle="1" w:styleId="47">
    <w:name w:val="font6"/>
    <w:basedOn w:val="1"/>
    <w:uiPriority w:val="0"/>
    <w:pPr>
      <w:widowControl/>
      <w:spacing w:before="100" w:beforeAutospacing="1" w:after="100" w:afterAutospacing="1"/>
      <w:jc w:val="left"/>
    </w:pPr>
    <w:rPr>
      <w:rFonts w:ascii="宋体" w:hAnsi="宋体"/>
      <w:kern w:val="0"/>
      <w:sz w:val="20"/>
    </w:rPr>
  </w:style>
  <w:style w:type="paragraph" w:customStyle="1" w:styleId="48">
    <w:name w:val="xl4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49">
    <w:name w:val="xl5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50">
    <w:name w:val="xl4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51">
    <w:name w:val="前言、引言标题"/>
    <w:next w:val="1"/>
    <w:uiPriority w:val="0"/>
    <w:pPr>
      <w:numPr>
        <w:ilvl w:val="0"/>
        <w:numId w:val="1"/>
      </w:numPr>
      <w:shd w:val="clear" w:color="FFFFFF" w:fill="FFFFFF"/>
      <w:spacing w:before="640" w:after="560"/>
      <w:jc w:val="center"/>
      <w:outlineLvl w:val="0"/>
    </w:pPr>
    <w:rPr>
      <w:rFonts w:ascii="黑体" w:eastAsia="黑体"/>
      <w:sz w:val="32"/>
      <w:lang w:val="en-US" w:eastAsia="zh-CN" w:bidi="ar-SA"/>
    </w:rPr>
  </w:style>
  <w:style w:type="paragraph" w:customStyle="1" w:styleId="52">
    <w:name w:val="xl4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53">
    <w:name w:val="发布部门"/>
    <w:next w:val="36"/>
    <w:uiPriority w:val="0"/>
    <w:pPr>
      <w:jc w:val="center"/>
    </w:pPr>
    <w:rPr>
      <w:rFonts w:ascii="宋体"/>
      <w:b/>
      <w:spacing w:val="20"/>
      <w:w w:val="135"/>
      <w:sz w:val="36"/>
      <w:lang w:val="en-US" w:eastAsia="zh-CN" w:bidi="ar-SA"/>
    </w:rPr>
  </w:style>
  <w:style w:type="paragraph" w:customStyle="1" w:styleId="54">
    <w:name w:val="封面标准英文名称"/>
    <w:uiPriority w:val="0"/>
    <w:pPr>
      <w:widowControl w:val="0"/>
      <w:spacing w:before="370" w:line="400" w:lineRule="exact"/>
      <w:jc w:val="center"/>
    </w:pPr>
    <w:rPr>
      <w:sz w:val="28"/>
      <w:lang w:val="en-US" w:eastAsia="zh-CN" w:bidi="ar-SA"/>
    </w:rPr>
  </w:style>
  <w:style w:type="paragraph" w:customStyle="1" w:styleId="55">
    <w:name w:val="封面正文"/>
    <w:uiPriority w:val="0"/>
    <w:pPr>
      <w:jc w:val="both"/>
    </w:pPr>
    <w:rPr>
      <w:lang w:val="en-US" w:eastAsia="zh-CN" w:bidi="ar-SA"/>
    </w:rPr>
  </w:style>
  <w:style w:type="paragraph" w:customStyle="1" w:styleId="56">
    <w:name w:val="xl3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57">
    <w:name w:val="实施日期"/>
    <w:basedOn w:val="58"/>
    <w:uiPriority w:val="0"/>
    <w:pPr>
      <w:jc w:val="right"/>
    </w:pPr>
  </w:style>
  <w:style w:type="paragraph" w:customStyle="1" w:styleId="58">
    <w:name w:val="发布日期"/>
    <w:uiPriority w:val="0"/>
    <w:rPr>
      <w:rFonts w:eastAsia="黑体"/>
      <w:sz w:val="28"/>
      <w:lang w:val="en-US" w:eastAsia="zh-CN" w:bidi="ar-SA"/>
    </w:rPr>
  </w:style>
  <w:style w:type="paragraph" w:customStyle="1" w:styleId="59">
    <w:name w:val="一级条标题"/>
    <w:next w:val="36"/>
    <w:uiPriority w:val="0"/>
    <w:pPr>
      <w:numPr>
        <w:ilvl w:val="2"/>
        <w:numId w:val="1"/>
      </w:numPr>
      <w:outlineLvl w:val="2"/>
    </w:pPr>
    <w:rPr>
      <w:rFonts w:eastAsia="黑体"/>
      <w:sz w:val="21"/>
      <w:lang w:val="en-US" w:eastAsia="zh-CN" w:bidi="ar-SA"/>
    </w:rPr>
  </w:style>
  <w:style w:type="paragraph" w:customStyle="1" w:styleId="60">
    <w:name w:val="xl3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61">
    <w:name w:val="xl4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62">
    <w:name w:val="xl5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63">
    <w:name w:val="封面标准名称"/>
    <w:uiPriority w:val="0"/>
    <w:pPr>
      <w:widowControl w:val="0"/>
      <w:spacing w:line="680" w:lineRule="exact"/>
      <w:jc w:val="center"/>
      <w:textAlignment w:val="center"/>
    </w:pPr>
    <w:rPr>
      <w:rFonts w:ascii="黑体" w:eastAsia="黑体"/>
      <w:sz w:val="52"/>
      <w:lang w:val="en-US" w:eastAsia="zh-CN" w:bidi="ar-SA"/>
    </w:rPr>
  </w:style>
  <w:style w:type="paragraph" w:customStyle="1" w:styleId="64">
    <w:name w:val="xl4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65">
    <w:name w:val="四级条标题"/>
    <w:basedOn w:val="66"/>
    <w:next w:val="36"/>
    <w:uiPriority w:val="0"/>
    <w:pPr>
      <w:numPr>
        <w:ilvl w:val="5"/>
        <w:numId w:val="1"/>
      </w:numPr>
      <w:ind w:left="816"/>
      <w:outlineLvl w:val="5"/>
    </w:pPr>
  </w:style>
  <w:style w:type="paragraph" w:customStyle="1" w:styleId="66">
    <w:name w:val="三级条标题"/>
    <w:basedOn w:val="67"/>
    <w:next w:val="36"/>
    <w:uiPriority w:val="0"/>
    <w:pPr>
      <w:numPr>
        <w:ilvl w:val="4"/>
        <w:numId w:val="1"/>
      </w:numPr>
      <w:outlineLvl w:val="4"/>
    </w:pPr>
  </w:style>
  <w:style w:type="paragraph" w:customStyle="1" w:styleId="67">
    <w:name w:val="二级条标题"/>
    <w:basedOn w:val="59"/>
    <w:next w:val="36"/>
    <w:uiPriority w:val="0"/>
    <w:pPr>
      <w:numPr>
        <w:ilvl w:val="3"/>
        <w:numId w:val="1"/>
      </w:numPr>
      <w:outlineLvl w:val="3"/>
    </w:pPr>
  </w:style>
  <w:style w:type="paragraph" w:customStyle="1" w:styleId="68">
    <w:name w:val="xl4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69">
    <w:name w:val="标准书眉_奇数页"/>
    <w:next w:val="1"/>
    <w:uiPriority w:val="0"/>
    <w:pPr>
      <w:tabs>
        <w:tab w:val="center" w:pos="4154"/>
        <w:tab w:val="right" w:pos="8306"/>
      </w:tabs>
      <w:spacing w:after="120"/>
      <w:jc w:val="right"/>
    </w:pPr>
    <w:rPr>
      <w:sz w:val="21"/>
      <w:lang w:val="en-US" w:eastAsia="zh-CN" w:bidi="ar-SA"/>
    </w:rPr>
  </w:style>
  <w:style w:type="paragraph" w:customStyle="1" w:styleId="70">
    <w:name w:val="font9"/>
    <w:basedOn w:val="1"/>
    <w:uiPriority w:val="0"/>
    <w:pPr>
      <w:widowControl/>
      <w:spacing w:before="100" w:beforeAutospacing="1" w:after="100" w:afterAutospacing="1"/>
      <w:jc w:val="left"/>
    </w:pPr>
    <w:rPr>
      <w:rFonts w:ascii="宋体" w:hAnsi="宋体"/>
      <w:kern w:val="0"/>
      <w:sz w:val="16"/>
      <w:szCs w:val="16"/>
    </w:rPr>
  </w:style>
  <w:style w:type="paragraph" w:customStyle="1" w:styleId="71">
    <w:name w:val="font8"/>
    <w:basedOn w:val="1"/>
    <w:uiPriority w:val="0"/>
    <w:pPr>
      <w:widowControl/>
      <w:spacing w:before="100" w:beforeAutospacing="1" w:after="100" w:afterAutospacing="1"/>
      <w:jc w:val="left"/>
    </w:pPr>
    <w:rPr>
      <w:rFonts w:ascii="宋体" w:hAnsi="宋体"/>
      <w:kern w:val="0"/>
      <w:sz w:val="18"/>
      <w:szCs w:val="18"/>
    </w:rPr>
  </w:style>
  <w:style w:type="paragraph" w:customStyle="1" w:styleId="72">
    <w:name w:val="尾消息标题"/>
    <w:basedOn w:val="19"/>
    <w:next w:val="5"/>
    <w:uiPriority w:val="0"/>
    <w:pPr>
      <w:pBdr>
        <w:bottom w:val="single" w:color="auto" w:sz="6" w:space="19"/>
        <w:between w:val="single" w:color="auto" w:sz="6" w:space="19"/>
      </w:pBdr>
      <w:tabs>
        <w:tab w:val="left" w:pos="1260"/>
        <w:tab w:val="left" w:pos="2940"/>
        <w:tab w:val="clear" w:pos="720"/>
        <w:tab w:val="clear" w:pos="4320"/>
        <w:tab w:val="clear" w:pos="8640"/>
      </w:tabs>
      <w:spacing w:before="120" w:after="120" w:line="240" w:lineRule="auto"/>
      <w:ind w:left="0" w:firstLine="0"/>
    </w:pPr>
    <w:rPr>
      <w:rFonts w:ascii="Times New Roman" w:hAnsi="Times New Roman"/>
    </w:rPr>
  </w:style>
  <w:style w:type="paragraph" w:customStyle="1" w:styleId="73">
    <w:name w:val="xl3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74">
    <w:name w:val="xl2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75">
    <w:name w:val="xl4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76">
    <w:name w:val="font7"/>
    <w:basedOn w:val="1"/>
    <w:uiPriority w:val="0"/>
    <w:pPr>
      <w:widowControl/>
      <w:spacing w:before="100" w:beforeAutospacing="1" w:after="100" w:afterAutospacing="1"/>
      <w:jc w:val="left"/>
    </w:pPr>
    <w:rPr>
      <w:rFonts w:ascii="宋体" w:hAnsi="宋体"/>
      <w:kern w:val="0"/>
      <w:sz w:val="20"/>
    </w:rPr>
  </w:style>
  <w:style w:type="paragraph" w:customStyle="1" w:styleId="77">
    <w:name w:val="目次、索引正文"/>
    <w:uiPriority w:val="0"/>
    <w:pPr>
      <w:spacing w:line="320" w:lineRule="exact"/>
      <w:jc w:val="both"/>
    </w:pPr>
    <w:rPr>
      <w:rFonts w:ascii="宋体"/>
      <w:sz w:val="21"/>
      <w:lang w:val="en-US" w:eastAsia="zh-CN" w:bidi="ar-SA"/>
    </w:rPr>
  </w:style>
  <w:style w:type="paragraph" w:customStyle="1" w:styleId="78">
    <w:name w:val="xl2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79">
    <w:name w:val="xl4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80">
    <w:name w:val="文档标签"/>
    <w:basedOn w:val="1"/>
    <w:uiPriority w:val="0"/>
    <w:pPr>
      <w:keepNext/>
      <w:keepLines/>
      <w:widowControl/>
      <w:adjustRightInd w:val="0"/>
      <w:snapToGrid w:val="0"/>
      <w:spacing w:before="120" w:after="120"/>
      <w:ind w:left="-839" w:firstLine="839"/>
      <w:jc w:val="center"/>
    </w:pPr>
    <w:rPr>
      <w:rFonts w:ascii="黑体" w:eastAsia="黑体"/>
      <w:kern w:val="28"/>
      <w:sz w:val="44"/>
      <w:szCs w:val="44"/>
    </w:rPr>
  </w:style>
  <w:style w:type="paragraph" w:customStyle="1" w:styleId="81">
    <w:name w:val="font1"/>
    <w:basedOn w:val="1"/>
    <w:uiPriority w:val="0"/>
    <w:pPr>
      <w:widowControl/>
      <w:spacing w:before="100" w:beforeAutospacing="1" w:after="100" w:afterAutospacing="1"/>
      <w:jc w:val="left"/>
    </w:pPr>
    <w:rPr>
      <w:rFonts w:ascii="宋体" w:hAnsi="宋体"/>
      <w:kern w:val="0"/>
      <w:sz w:val="24"/>
    </w:rPr>
  </w:style>
  <w:style w:type="paragraph" w:customStyle="1" w:styleId="82">
    <w:name w:val="xl2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83">
    <w:name w:val="xl4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84">
    <w:name w:val="xl4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85">
    <w:name w:val="xl3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86">
    <w:name w:val="五级条标题"/>
    <w:basedOn w:val="65"/>
    <w:next w:val="36"/>
    <w:uiPriority w:val="0"/>
    <w:pPr>
      <w:numPr>
        <w:ilvl w:val="6"/>
        <w:numId w:val="1"/>
      </w:numPr>
      <w:ind w:left="0"/>
      <w:outlineLvl w:val="6"/>
    </w:pPr>
  </w:style>
  <w:style w:type="paragraph" w:customStyle="1" w:styleId="87">
    <w:name w:val="xl3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88">
    <w:name w:val="xl2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89">
    <w:name w:val="xl3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90">
    <w:name w:val="文献分类号"/>
    <w:uiPriority w:val="0"/>
    <w:pPr>
      <w:widowControl w:val="0"/>
      <w:textAlignment w:val="center"/>
    </w:pPr>
    <w:rPr>
      <w:rFonts w:eastAsia="黑体"/>
      <w:sz w:val="21"/>
      <w:lang w:val="en-US" w:eastAsia="zh-CN" w:bidi="ar-SA"/>
    </w:rPr>
  </w:style>
  <w:style w:type="paragraph" w:customStyle="1" w:styleId="91">
    <w:name w:val="xl2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92">
    <w:name w:val="xl3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93">
    <w:name w:val="封面标准号1"/>
    <w:uiPriority w:val="0"/>
    <w:pPr>
      <w:widowControl w:val="0"/>
      <w:kinsoku w:val="0"/>
      <w:overflowPunct w:val="0"/>
      <w:autoSpaceDE w:val="0"/>
      <w:autoSpaceDN w:val="0"/>
      <w:spacing w:before="308"/>
      <w:jc w:val="right"/>
      <w:textAlignment w:val="center"/>
    </w:pPr>
    <w:rPr>
      <w:sz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lth</Company>
  <Pages>3</Pages>
  <Words>2071</Words>
  <Characters>2257</Characters>
  <Lines>16</Lines>
  <Paragraphs>4</Paragraphs>
  <TotalTime>41</TotalTime>
  <ScaleCrop>false</ScaleCrop>
  <LinksUpToDate>false</LinksUpToDate>
  <CharactersWithSpaces>2283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2018-03-22T10:20:00Z</dcterms:created>
  <dc:creator>微软用户</dc:creator>
  <cp:lastModifiedBy>啵啵魚ゆ</cp:lastModifiedBy>
  <cp:lastPrinted>2024-11-28T01:14:45Z</cp:lastPrinted>
  <dcterms:modified xsi:type="dcterms:W3CDTF">2026-04-20T02:06:21Z</dcterms:modified>
  <dc:title>500#烟道气CO2回收系统</dc:title>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CFABF456B02A477B984A291DE008EBB0_13</vt:lpwstr>
  </property>
</Properties>
</file>